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A8F33">
      <w:pPr>
        <w:jc w:val="both"/>
        <w:rPr>
          <w:rFonts w:hint="eastAsia" w:ascii="仿宋" w:hAnsi="仿宋" w:eastAsia="仿宋" w:cs="仿宋"/>
          <w:b/>
          <w:bCs/>
          <w:color w:val="000000"/>
          <w:spacing w:val="80"/>
          <w:sz w:val="52"/>
          <w:szCs w:val="52"/>
          <w:lang w:eastAsia="zh-CN"/>
        </w:rPr>
      </w:pPr>
    </w:p>
    <w:p w14:paraId="492546C2">
      <w:pPr>
        <w:jc w:val="center"/>
        <w:rPr>
          <w:rFonts w:hint="eastAsia" w:ascii="黑体" w:hAnsi="黑体" w:eastAsia="黑体" w:cs="黑体"/>
          <w:b/>
          <w:bCs/>
          <w:color w:val="000000"/>
          <w:spacing w:val="80"/>
          <w:sz w:val="72"/>
          <w:szCs w:val="72"/>
          <w:lang w:eastAsia="zh-CN"/>
        </w:rPr>
      </w:pPr>
      <w:r>
        <w:rPr>
          <w:rFonts w:hint="eastAsia" w:ascii="黑体" w:hAnsi="黑体" w:eastAsia="黑体" w:cs="黑体"/>
          <w:b/>
          <w:bCs/>
          <w:color w:val="000000"/>
          <w:spacing w:val="80"/>
          <w:sz w:val="72"/>
          <w:szCs w:val="72"/>
          <w:lang w:val="en-US" w:eastAsia="zh-CN"/>
        </w:rPr>
        <w:t>询比</w:t>
      </w:r>
      <w:r>
        <w:rPr>
          <w:rFonts w:hint="eastAsia" w:ascii="黑体" w:hAnsi="黑体" w:eastAsia="黑体" w:cs="黑体"/>
          <w:b/>
          <w:bCs/>
          <w:color w:val="000000"/>
          <w:spacing w:val="80"/>
          <w:sz w:val="72"/>
          <w:szCs w:val="72"/>
          <w:lang w:eastAsia="zh-CN"/>
        </w:rPr>
        <w:t>文件</w:t>
      </w:r>
    </w:p>
    <w:p w14:paraId="5BDC1234">
      <w:pPr>
        <w:pStyle w:val="23"/>
        <w:rPr>
          <w:rFonts w:hint="eastAsia"/>
          <w:lang w:eastAsia="zh-CN"/>
        </w:rPr>
      </w:pPr>
    </w:p>
    <w:p w14:paraId="13B34B21">
      <w:pPr>
        <w:spacing w:line="700" w:lineRule="exact"/>
        <w:rPr>
          <w:rFonts w:ascii="仿宋" w:hAnsi="仿宋" w:eastAsia="仿宋" w:cs="仿宋"/>
          <w:color w:val="000000"/>
          <w:sz w:val="24"/>
          <w:szCs w:val="24"/>
        </w:rPr>
      </w:pPr>
    </w:p>
    <w:p w14:paraId="579FEC0B">
      <w:pPr>
        <w:spacing w:line="700" w:lineRule="exact"/>
        <w:jc w:val="center"/>
        <w:rPr>
          <w:rFonts w:ascii="仿宋" w:hAnsi="仿宋" w:eastAsia="仿宋" w:cs="仿宋"/>
          <w:color w:val="000000"/>
          <w:sz w:val="24"/>
          <w:szCs w:val="24"/>
        </w:rPr>
      </w:pPr>
      <w:r>
        <w:rPr>
          <w:rFonts w:hint="eastAsia" w:ascii="仿宋" w:hAnsi="仿宋" w:eastAsia="仿宋" w:cs="仿宋"/>
          <w:szCs w:val="18"/>
        </w:rPr>
        <w:drawing>
          <wp:anchor distT="0" distB="0" distL="114300" distR="114300" simplePos="0" relativeHeight="251660288" behindDoc="0" locked="0" layoutInCell="1" allowOverlap="1">
            <wp:simplePos x="0" y="0"/>
            <wp:positionH relativeFrom="column">
              <wp:posOffset>2574925</wp:posOffset>
            </wp:positionH>
            <wp:positionV relativeFrom="paragraph">
              <wp:posOffset>-292100</wp:posOffset>
            </wp:positionV>
            <wp:extent cx="999490" cy="1080135"/>
            <wp:effectExtent l="0" t="0" r="10160" b="5715"/>
            <wp:wrapNone/>
            <wp:docPr id="1" name="图片 2" descr="色值r255g5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色值r255g51b0"/>
                    <pic:cNvPicPr>
                      <a:picLocks noChangeAspect="1"/>
                    </pic:cNvPicPr>
                  </pic:nvPicPr>
                  <pic:blipFill>
                    <a:blip r:embed="rId21"/>
                    <a:stretch>
                      <a:fillRect/>
                    </a:stretch>
                  </pic:blipFill>
                  <pic:spPr>
                    <a:xfrm>
                      <a:off x="0" y="0"/>
                      <a:ext cx="999490" cy="1080135"/>
                    </a:xfrm>
                    <a:prstGeom prst="rect">
                      <a:avLst/>
                    </a:prstGeom>
                    <a:noFill/>
                    <a:ln>
                      <a:noFill/>
                    </a:ln>
                  </pic:spPr>
                </pic:pic>
              </a:graphicData>
            </a:graphic>
          </wp:anchor>
        </w:drawing>
      </w:r>
    </w:p>
    <w:p w14:paraId="771209FA">
      <w:pPr>
        <w:pStyle w:val="36"/>
        <w:rPr>
          <w:rFonts w:ascii="仿宋" w:hAnsi="仿宋" w:eastAsia="仿宋" w:cs="仿宋"/>
          <w:color w:val="000000"/>
          <w:sz w:val="24"/>
          <w:szCs w:val="24"/>
        </w:rPr>
      </w:pPr>
    </w:p>
    <w:p w14:paraId="4C5E9F8A">
      <w:pPr>
        <w:pStyle w:val="36"/>
      </w:pPr>
    </w:p>
    <w:p w14:paraId="2C4D2EAF">
      <w:pPr>
        <w:pStyle w:val="36"/>
      </w:pPr>
    </w:p>
    <w:p w14:paraId="4967DE34">
      <w:pPr>
        <w:pStyle w:val="36"/>
      </w:pPr>
    </w:p>
    <w:p w14:paraId="6462567E">
      <w:pPr>
        <w:pStyle w:val="36"/>
      </w:pPr>
    </w:p>
    <w:p w14:paraId="3B6D70B7"/>
    <w:p w14:paraId="4E257FB0"/>
    <w:p w14:paraId="6D0FC73C">
      <w:pPr>
        <w:pStyle w:val="36"/>
      </w:pPr>
    </w:p>
    <w:p w14:paraId="0CB44E61">
      <w:pPr>
        <w:pStyle w:val="52"/>
        <w:keepNext w:val="0"/>
        <w:keepLines w:val="0"/>
        <w:widowControl w:val="0"/>
        <w:suppressLineNumbers w:val="0"/>
        <w:spacing w:before="0" w:beforeAutospacing="0" w:after="0" w:afterAutospacing="0" w:line="360" w:lineRule="auto"/>
        <w:ind w:right="0" w:firstLine="301" w:firstLineChars="100"/>
        <w:jc w:val="both"/>
        <w:rPr>
          <w:rFonts w:hint="eastAsia" w:ascii="黑体" w:hAnsi="黑体" w:eastAsia="黑体" w:cs="黑体"/>
          <w:b/>
          <w:bCs/>
          <w:color w:val="000000"/>
          <w:sz w:val="30"/>
          <w:szCs w:val="30"/>
          <w:lang w:val="en-US" w:eastAsia="zh-CN"/>
        </w:rPr>
      </w:pPr>
      <w:r>
        <w:rPr>
          <w:rFonts w:hint="eastAsia" w:ascii="黑体" w:hAnsi="黑体" w:eastAsia="黑体" w:cs="黑体"/>
          <w:b/>
          <w:bCs/>
          <w:color w:val="000000"/>
          <w:sz w:val="30"/>
          <w:szCs w:val="30"/>
        </w:rPr>
        <w:t>项目</w:t>
      </w:r>
      <w:r>
        <w:rPr>
          <w:rFonts w:hint="eastAsia" w:ascii="黑体" w:hAnsi="黑体" w:eastAsia="黑体" w:cs="黑体"/>
          <w:b/>
          <w:bCs/>
          <w:color w:val="000000"/>
          <w:sz w:val="30"/>
          <w:szCs w:val="30"/>
          <w:lang w:eastAsia="zh-CN"/>
        </w:rPr>
        <w:t>编</w:t>
      </w:r>
      <w:r>
        <w:rPr>
          <w:rFonts w:hint="eastAsia" w:ascii="黑体" w:hAnsi="黑体" w:eastAsia="黑体" w:cs="黑体"/>
          <w:b/>
          <w:bCs/>
          <w:color w:val="000000"/>
          <w:sz w:val="30"/>
          <w:szCs w:val="30"/>
        </w:rPr>
        <w:t>号：</w:t>
      </w:r>
      <w:r>
        <w:rPr>
          <w:rFonts w:hint="eastAsia" w:ascii="黑体" w:hAnsi="黑体" w:eastAsia="黑体" w:cs="黑体"/>
          <w:b/>
          <w:bCs/>
          <w:color w:val="000000"/>
          <w:sz w:val="30"/>
          <w:szCs w:val="30"/>
          <w:lang w:val="en-US" w:eastAsia="zh-CN"/>
        </w:rPr>
        <w:t>CQQGX202610</w:t>
      </w:r>
    </w:p>
    <w:p w14:paraId="4197B154">
      <w:pPr>
        <w:spacing w:line="700" w:lineRule="exact"/>
        <w:ind w:firstLine="301" w:firstLineChars="100"/>
        <w:rPr>
          <w:rFonts w:hint="default" w:ascii="黑体" w:hAnsi="黑体" w:eastAsia="黑体" w:cs="黑体"/>
          <w:b/>
          <w:bCs/>
          <w:color w:val="auto"/>
          <w:sz w:val="30"/>
          <w:szCs w:val="30"/>
          <w:lang w:val="en-US" w:eastAsia="zh-CN"/>
        </w:rPr>
      </w:pPr>
      <w:r>
        <w:rPr>
          <w:rFonts w:hint="eastAsia" w:ascii="黑体" w:hAnsi="黑体" w:eastAsia="黑体" w:cs="黑体"/>
          <w:b/>
          <w:bCs/>
          <w:color w:val="auto"/>
          <w:sz w:val="30"/>
          <w:szCs w:val="30"/>
        </w:rPr>
        <w:t>项目名称</w:t>
      </w:r>
      <w:bookmarkStart w:id="0" w:name="HumiType21"/>
      <w:bookmarkEnd w:id="0"/>
      <w:r>
        <w:rPr>
          <w:rFonts w:hint="eastAsia" w:ascii="黑体" w:hAnsi="黑体" w:eastAsia="黑体" w:cs="黑体"/>
          <w:b/>
          <w:bCs/>
          <w:color w:val="auto"/>
          <w:sz w:val="30"/>
          <w:szCs w:val="30"/>
        </w:rPr>
        <w:t>：</w:t>
      </w:r>
      <w:r>
        <w:rPr>
          <w:rFonts w:hint="eastAsia" w:ascii="黑体" w:hAnsi="黑体" w:eastAsia="黑体" w:cs="黑体"/>
          <w:b/>
          <w:bCs/>
          <w:color w:val="auto"/>
          <w:sz w:val="30"/>
          <w:szCs w:val="30"/>
          <w:lang w:eastAsia="zh-CN"/>
        </w:rPr>
        <w:t>重庆市轻工业学校</w:t>
      </w:r>
      <w:r>
        <w:rPr>
          <w:rFonts w:hint="eastAsia" w:ascii="黑体" w:hAnsi="黑体" w:eastAsia="黑体" w:cs="黑体"/>
          <w:b/>
          <w:bCs/>
          <w:color w:val="auto"/>
          <w:sz w:val="30"/>
          <w:szCs w:val="30"/>
          <w:lang w:val="en-US" w:eastAsia="zh-CN"/>
        </w:rPr>
        <w:t>2026-2028年学生体检服务（第二次）</w:t>
      </w:r>
    </w:p>
    <w:p w14:paraId="596536F1">
      <w:pPr>
        <w:spacing w:line="500" w:lineRule="exact"/>
        <w:ind w:firstLine="904" w:firstLineChars="300"/>
        <w:rPr>
          <w:rFonts w:hint="eastAsia" w:ascii="黑体" w:hAnsi="黑体" w:eastAsia="黑体" w:cs="黑体"/>
          <w:b/>
          <w:bCs/>
          <w:color w:val="000000"/>
          <w:sz w:val="30"/>
          <w:szCs w:val="30"/>
          <w:lang w:eastAsia="zh-CN"/>
        </w:rPr>
      </w:pPr>
    </w:p>
    <w:p w14:paraId="7392A314">
      <w:pPr>
        <w:spacing w:line="700" w:lineRule="exact"/>
        <w:ind w:firstLine="904" w:firstLineChars="300"/>
        <w:rPr>
          <w:rFonts w:hint="eastAsia" w:ascii="黑体" w:hAnsi="黑体" w:eastAsia="黑体" w:cs="黑体"/>
          <w:color w:val="000000"/>
          <w:sz w:val="24"/>
          <w:szCs w:val="24"/>
        </w:rPr>
      </w:pPr>
      <w:r>
        <w:rPr>
          <w:rFonts w:hint="eastAsia" w:ascii="黑体" w:hAnsi="黑体" w:eastAsia="黑体" w:cs="黑体"/>
          <w:b/>
          <w:bCs/>
          <w:color w:val="000000"/>
          <w:sz w:val="30"/>
          <w:szCs w:val="30"/>
        </w:rPr>
        <w:t xml:space="preserve"> </w:t>
      </w:r>
    </w:p>
    <w:p w14:paraId="7E52C778">
      <w:pPr>
        <w:pStyle w:val="36"/>
        <w:rPr>
          <w:rFonts w:hint="eastAsia" w:ascii="黑体" w:hAnsi="黑体" w:eastAsia="黑体" w:cs="黑体"/>
        </w:rPr>
      </w:pPr>
    </w:p>
    <w:p w14:paraId="46FBE5FE">
      <w:pPr>
        <w:spacing w:line="500" w:lineRule="exact"/>
        <w:ind w:firstLine="904" w:firstLineChars="300"/>
        <w:rPr>
          <w:rFonts w:hint="eastAsia" w:ascii="黑体" w:hAnsi="黑体" w:eastAsia="黑体" w:cs="黑体"/>
          <w:b/>
          <w:bCs/>
          <w:color w:val="000000"/>
          <w:sz w:val="30"/>
          <w:szCs w:val="30"/>
          <w:lang w:eastAsia="zh-CN"/>
        </w:rPr>
      </w:pPr>
      <w:r>
        <w:rPr>
          <w:rFonts w:hint="eastAsia" w:ascii="黑体" w:hAnsi="黑体" w:eastAsia="黑体" w:cs="黑体"/>
          <w:b/>
          <w:bCs/>
          <w:color w:val="000000"/>
          <w:sz w:val="30"/>
          <w:szCs w:val="30"/>
        </w:rPr>
        <w:t>采   购   人：</w:t>
      </w:r>
      <w:r>
        <w:rPr>
          <w:rFonts w:hint="eastAsia" w:ascii="黑体" w:hAnsi="黑体" w:eastAsia="黑体" w:cs="黑体"/>
          <w:b/>
          <w:bCs/>
          <w:color w:val="000000"/>
          <w:sz w:val="30"/>
          <w:szCs w:val="30"/>
          <w:lang w:eastAsia="zh-CN"/>
        </w:rPr>
        <w:t>重庆市轻工业学校</w:t>
      </w:r>
    </w:p>
    <w:p w14:paraId="2D0D9823">
      <w:pPr>
        <w:spacing w:line="500" w:lineRule="exact"/>
        <w:ind w:firstLine="904" w:firstLineChars="300"/>
        <w:rPr>
          <w:rFonts w:hint="eastAsia" w:ascii="黑体" w:hAnsi="黑体" w:eastAsia="黑体" w:cs="黑体"/>
          <w:b/>
          <w:bCs/>
          <w:color w:val="000000"/>
          <w:sz w:val="30"/>
          <w:szCs w:val="30"/>
        </w:rPr>
      </w:pPr>
      <w:r>
        <w:rPr>
          <w:rFonts w:hint="eastAsia" w:ascii="黑体" w:hAnsi="黑体" w:eastAsia="黑体" w:cs="黑体"/>
          <w:b/>
          <w:bCs/>
          <w:color w:val="000000"/>
          <w:sz w:val="30"/>
          <w:szCs w:val="30"/>
        </w:rPr>
        <w:t>采购代理机构：重庆渝开洋工程管理咨询有限公司</w:t>
      </w:r>
    </w:p>
    <w:p w14:paraId="29192317">
      <w:pPr>
        <w:pStyle w:val="38"/>
        <w:rPr>
          <w:rFonts w:ascii="仿宋" w:hAnsi="仿宋" w:eastAsia="仿宋" w:cs="仿宋"/>
          <w:b/>
          <w:bCs/>
          <w:color w:val="000000"/>
          <w:szCs w:val="30"/>
        </w:rPr>
      </w:pPr>
    </w:p>
    <w:p w14:paraId="41B8378F">
      <w:pPr>
        <w:pStyle w:val="3"/>
      </w:pPr>
    </w:p>
    <w:p w14:paraId="4AD24B00">
      <w:pPr>
        <w:spacing w:line="500" w:lineRule="exact"/>
        <w:ind w:firstLine="904" w:firstLineChars="300"/>
        <w:jc w:val="center"/>
        <w:rPr>
          <w:rFonts w:ascii="仿宋" w:hAnsi="仿宋" w:eastAsia="仿宋" w:cs="仿宋"/>
          <w:b/>
          <w:bCs/>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18" w:bottom="1418" w:left="1418" w:header="851" w:footer="992" w:gutter="0"/>
          <w:pgNumType w:fmt="decimal" w:start="3"/>
          <w:cols w:space="720" w:num="1"/>
          <w:docGrid w:linePitch="380" w:charSpace="-5735"/>
        </w:sectPr>
      </w:pPr>
      <w:r>
        <w:rPr>
          <w:rFonts w:hint="eastAsia" w:ascii="黑体" w:hAnsi="黑体" w:eastAsia="黑体" w:cs="黑体"/>
          <w:b/>
          <w:bCs/>
          <w:color w:val="000000"/>
          <w:sz w:val="30"/>
          <w:szCs w:val="30"/>
        </w:rPr>
        <w:t>二○二</w:t>
      </w:r>
      <w:r>
        <w:rPr>
          <w:rFonts w:hint="eastAsia" w:ascii="黑体" w:hAnsi="黑体" w:eastAsia="黑体" w:cs="黑体"/>
          <w:b/>
          <w:bCs/>
          <w:color w:val="000000"/>
          <w:sz w:val="30"/>
          <w:szCs w:val="30"/>
          <w:lang w:eastAsia="zh-CN"/>
        </w:rPr>
        <w:t>六</w:t>
      </w:r>
      <w:r>
        <w:rPr>
          <w:rFonts w:hint="eastAsia" w:ascii="黑体" w:hAnsi="黑体" w:eastAsia="黑体" w:cs="黑体"/>
          <w:b/>
          <w:bCs/>
          <w:color w:val="000000"/>
          <w:sz w:val="30"/>
          <w:szCs w:val="30"/>
        </w:rPr>
        <w:t>年</w:t>
      </w:r>
      <w:r>
        <w:rPr>
          <w:rFonts w:hint="eastAsia" w:ascii="黑体" w:hAnsi="黑体" w:eastAsia="黑体" w:cs="黑体"/>
          <w:b/>
          <w:bCs/>
          <w:color w:val="000000"/>
          <w:sz w:val="30"/>
          <w:szCs w:val="30"/>
          <w:lang w:eastAsia="zh-CN"/>
        </w:rPr>
        <w:t>五</w:t>
      </w:r>
      <w:r>
        <w:rPr>
          <w:rFonts w:hint="eastAsia" w:ascii="黑体" w:hAnsi="黑体" w:eastAsia="黑体" w:cs="黑体"/>
          <w:b/>
          <w:bCs/>
          <w:color w:val="000000"/>
          <w:sz w:val="30"/>
          <w:szCs w:val="30"/>
        </w:rPr>
        <w:t>月</w:t>
      </w:r>
    </w:p>
    <w:p w14:paraId="00CC5F85">
      <w:pPr>
        <w:pStyle w:val="30"/>
        <w:tabs>
          <w:tab w:val="right" w:leader="dot" w:pos="9402"/>
        </w:tabs>
        <w:spacing w:line="360" w:lineRule="auto"/>
        <w:ind w:left="0" w:leftChars="0"/>
        <w:jc w:val="center"/>
        <w:rPr>
          <w:rFonts w:hint="eastAsia" w:ascii="黑体" w:hAnsi="黑体" w:eastAsia="黑体" w:cs="黑体"/>
          <w:b/>
          <w:bCs/>
          <w:sz w:val="32"/>
          <w:szCs w:val="32"/>
        </w:rPr>
      </w:pPr>
      <w:r>
        <w:rPr>
          <w:rFonts w:hint="eastAsia" w:ascii="黑体" w:hAnsi="黑体" w:eastAsia="黑体" w:cs="黑体"/>
          <w:b/>
          <w:bCs/>
          <w:sz w:val="32"/>
          <w:szCs w:val="32"/>
        </w:rPr>
        <w:t>目 录</w:t>
      </w:r>
    </w:p>
    <w:p w14:paraId="16AD972F">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TOC \o "1-3" \h \z </w:instrText>
      </w:r>
      <w:r>
        <w:rPr>
          <w:rFonts w:hint="eastAsia" w:ascii="黑体" w:hAnsi="黑体" w:eastAsia="黑体" w:cs="黑体"/>
          <w:sz w:val="24"/>
          <w:szCs w:val="24"/>
        </w:rPr>
        <w:fldChar w:fldCharType="separate"/>
      </w: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"_Toc106034769"</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第一篇  采购邀请书</w:t>
      </w:r>
      <w:r>
        <w:rPr>
          <w:rFonts w:hint="eastAsia" w:ascii="黑体" w:hAnsi="黑体" w:eastAsia="黑体" w:cs="黑体"/>
          <w:b/>
          <w:bCs/>
          <w:sz w:val="24"/>
          <w:szCs w:val="24"/>
        </w:rPr>
        <w:tab/>
      </w: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PAGEREF _Toc106034769 \h </w:instrText>
      </w:r>
      <w:r>
        <w:rPr>
          <w:rFonts w:hint="eastAsia" w:ascii="黑体" w:hAnsi="黑体" w:eastAsia="黑体" w:cs="黑体"/>
          <w:b/>
          <w:bCs/>
          <w:sz w:val="24"/>
          <w:szCs w:val="24"/>
        </w:rPr>
        <w:fldChar w:fldCharType="separate"/>
      </w:r>
      <w:r>
        <w:rPr>
          <w:rFonts w:hint="eastAsia" w:ascii="黑体" w:hAnsi="黑体" w:eastAsia="黑体" w:cs="黑体"/>
          <w:b/>
          <w:bCs/>
          <w:sz w:val="24"/>
          <w:szCs w:val="24"/>
        </w:rPr>
        <w:t>2</w:t>
      </w:r>
      <w:r>
        <w:rPr>
          <w:rFonts w:hint="eastAsia" w:ascii="黑体" w:hAnsi="黑体" w:eastAsia="黑体" w:cs="黑体"/>
          <w:b/>
          <w:bCs/>
          <w:sz w:val="24"/>
          <w:szCs w:val="24"/>
        </w:rPr>
        <w:fldChar w:fldCharType="end"/>
      </w:r>
      <w:r>
        <w:rPr>
          <w:rStyle w:val="66"/>
          <w:rFonts w:hint="eastAsia" w:ascii="黑体" w:hAnsi="黑体" w:eastAsia="黑体" w:cs="黑体"/>
          <w:b/>
          <w:bCs/>
          <w:sz w:val="24"/>
          <w:szCs w:val="24"/>
        </w:rPr>
        <w:fldChar w:fldCharType="end"/>
      </w:r>
    </w:p>
    <w:p w14:paraId="4778FDB6">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sz w:val="24"/>
          <w:szCs w:val="24"/>
        </w:rPr>
      </w:pP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"_Toc106034778"</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第二篇  项目</w:t>
      </w:r>
      <w:r>
        <w:rPr>
          <w:rStyle w:val="66"/>
          <w:rFonts w:hint="eastAsia" w:ascii="黑体" w:hAnsi="黑体" w:eastAsia="黑体" w:cs="黑体"/>
          <w:b/>
          <w:bCs/>
          <w:sz w:val="24"/>
          <w:szCs w:val="24"/>
          <w:lang w:val="en-US" w:eastAsia="zh-CN"/>
        </w:rPr>
        <w:t>服务需求</w:t>
      </w:r>
      <w:r>
        <w:rPr>
          <w:rFonts w:hint="eastAsia" w:ascii="黑体" w:hAnsi="黑体" w:eastAsia="黑体" w:cs="黑体"/>
          <w:b/>
          <w:bCs/>
          <w:sz w:val="24"/>
          <w:szCs w:val="24"/>
        </w:rPr>
        <w:tab/>
      </w:r>
      <w:r>
        <w:rPr>
          <w:rFonts w:hint="eastAsia" w:ascii="黑体" w:hAnsi="黑体" w:eastAsia="黑体" w:cs="黑体"/>
          <w:b/>
          <w:bCs/>
          <w:sz w:val="24"/>
          <w:szCs w:val="24"/>
          <w:lang w:val="en-US" w:eastAsia="zh-CN"/>
        </w:rPr>
        <w:t>5</w:t>
      </w:r>
      <w:r>
        <w:rPr>
          <w:rStyle w:val="66"/>
          <w:rFonts w:hint="eastAsia" w:ascii="黑体" w:hAnsi="黑体" w:eastAsia="黑体" w:cs="黑体"/>
          <w:b/>
          <w:bCs/>
          <w:sz w:val="24"/>
          <w:szCs w:val="24"/>
        </w:rPr>
        <w:fldChar w:fldCharType="end"/>
      </w:r>
    </w:p>
    <w:p w14:paraId="136E04B5">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sz w:val="24"/>
          <w:szCs w:val="24"/>
          <w:lang w:val="en-US" w:eastAsia="zh-CN"/>
        </w:rPr>
      </w:pP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"_Toc106034781"</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第三篇  项目</w:t>
      </w:r>
      <w:r>
        <w:rPr>
          <w:rStyle w:val="66"/>
          <w:rFonts w:hint="eastAsia" w:ascii="黑体" w:hAnsi="黑体" w:eastAsia="黑体" w:cs="黑体"/>
          <w:b/>
          <w:bCs/>
          <w:sz w:val="24"/>
          <w:szCs w:val="24"/>
          <w:lang w:val="en-US" w:eastAsia="zh-CN"/>
        </w:rPr>
        <w:t>商务</w:t>
      </w:r>
      <w:r>
        <w:rPr>
          <w:rStyle w:val="66"/>
          <w:rFonts w:hint="eastAsia" w:ascii="黑体" w:hAnsi="黑体" w:eastAsia="黑体" w:cs="黑体"/>
          <w:b/>
          <w:bCs/>
          <w:sz w:val="24"/>
          <w:szCs w:val="24"/>
        </w:rPr>
        <w:t>需求</w:t>
      </w:r>
      <w:r>
        <w:rPr>
          <w:rFonts w:hint="eastAsia" w:ascii="黑体" w:hAnsi="黑体" w:eastAsia="黑体" w:cs="黑体"/>
          <w:b/>
          <w:bCs/>
          <w:sz w:val="24"/>
          <w:szCs w:val="24"/>
        </w:rPr>
        <w:tab/>
      </w:r>
      <w:r>
        <w:rPr>
          <w:rStyle w:val="66"/>
          <w:rFonts w:hint="eastAsia" w:ascii="黑体" w:hAnsi="黑体" w:eastAsia="黑体" w:cs="黑体"/>
          <w:b/>
          <w:bCs/>
          <w:sz w:val="24"/>
          <w:szCs w:val="24"/>
        </w:rPr>
        <w:fldChar w:fldCharType="end"/>
      </w:r>
      <w:r>
        <w:rPr>
          <w:rStyle w:val="66"/>
          <w:rFonts w:hint="eastAsia" w:ascii="黑体" w:hAnsi="黑体" w:eastAsia="黑体" w:cs="黑体"/>
          <w:b/>
          <w:bCs/>
          <w:sz w:val="24"/>
          <w:szCs w:val="24"/>
          <w:lang w:val="en-US" w:eastAsia="zh-CN"/>
        </w:rPr>
        <w:t>8</w:t>
      </w:r>
    </w:p>
    <w:p w14:paraId="1C0823F5">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sz w:val="24"/>
          <w:szCs w:val="24"/>
          <w:lang w:val="en-US" w:eastAsia="zh-CN"/>
        </w:rPr>
      </w:pP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"_Toc106034789"</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第四篇  采购程序、评定成交的标准、无效报价及采购终止</w:t>
      </w:r>
      <w:r>
        <w:rPr>
          <w:rFonts w:hint="eastAsia" w:ascii="黑体" w:hAnsi="黑体" w:eastAsia="黑体" w:cs="黑体"/>
          <w:b/>
          <w:bCs/>
          <w:sz w:val="24"/>
          <w:szCs w:val="24"/>
        </w:rPr>
        <w:tab/>
      </w:r>
      <w:r>
        <w:rPr>
          <w:rFonts w:hint="eastAsia" w:ascii="黑体" w:hAnsi="黑体" w:eastAsia="黑体" w:cs="黑体"/>
          <w:b/>
          <w:bCs/>
          <w:sz w:val="24"/>
          <w:szCs w:val="24"/>
          <w:lang w:val="en-US" w:eastAsia="zh-CN"/>
        </w:rPr>
        <w:t>1</w:t>
      </w:r>
      <w:r>
        <w:rPr>
          <w:rStyle w:val="66"/>
          <w:rFonts w:hint="eastAsia" w:ascii="黑体" w:hAnsi="黑体" w:eastAsia="黑体" w:cs="黑体"/>
          <w:b/>
          <w:bCs/>
          <w:sz w:val="24"/>
          <w:szCs w:val="24"/>
        </w:rPr>
        <w:fldChar w:fldCharType="end"/>
      </w:r>
      <w:r>
        <w:rPr>
          <w:rStyle w:val="66"/>
          <w:rFonts w:hint="eastAsia" w:ascii="黑体" w:hAnsi="黑体" w:eastAsia="黑体" w:cs="黑体"/>
          <w:b/>
          <w:bCs/>
          <w:sz w:val="24"/>
          <w:szCs w:val="24"/>
          <w:lang w:val="en-US" w:eastAsia="zh-CN"/>
        </w:rPr>
        <w:t>0</w:t>
      </w:r>
    </w:p>
    <w:p w14:paraId="282A3226">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b/>
          <w:bCs/>
          <w:sz w:val="24"/>
          <w:szCs w:val="24"/>
          <w:lang w:val="en-US" w:eastAsia="zh-CN"/>
        </w:rPr>
      </w:pP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"_Toc106034794"</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第五篇  供应商须知</w:t>
      </w:r>
      <w:r>
        <w:rPr>
          <w:rFonts w:hint="eastAsia" w:ascii="黑体" w:hAnsi="黑体" w:eastAsia="黑体" w:cs="黑体"/>
          <w:b/>
          <w:bCs/>
          <w:sz w:val="24"/>
          <w:szCs w:val="24"/>
        </w:rPr>
        <w:tab/>
      </w:r>
      <w:r>
        <w:rPr>
          <w:rStyle w:val="66"/>
          <w:rFonts w:hint="eastAsia" w:ascii="黑体" w:hAnsi="黑体" w:eastAsia="黑体" w:cs="黑体"/>
          <w:b/>
          <w:bCs/>
          <w:sz w:val="24"/>
          <w:szCs w:val="24"/>
        </w:rPr>
        <w:fldChar w:fldCharType="end"/>
      </w:r>
      <w:r>
        <w:rPr>
          <w:rStyle w:val="66"/>
          <w:rFonts w:hint="eastAsia" w:ascii="黑体" w:hAnsi="黑体" w:eastAsia="黑体" w:cs="黑体"/>
          <w:b/>
          <w:bCs/>
          <w:sz w:val="24"/>
          <w:szCs w:val="24"/>
          <w:lang w:val="en-US" w:eastAsia="zh-CN"/>
        </w:rPr>
        <w:t>15</w:t>
      </w:r>
    </w:p>
    <w:p w14:paraId="447F8551">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b/>
          <w:bCs/>
          <w:sz w:val="24"/>
          <w:szCs w:val="24"/>
          <w:lang w:val="en-US" w:eastAsia="zh-CN"/>
        </w:rPr>
      </w:pP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"_Toc106034806"</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第六篇  合同草案条款</w:t>
      </w:r>
      <w:r>
        <w:rPr>
          <w:rFonts w:hint="eastAsia" w:ascii="黑体" w:hAnsi="黑体" w:eastAsia="黑体" w:cs="黑体"/>
          <w:b/>
          <w:bCs/>
          <w:sz w:val="24"/>
          <w:szCs w:val="24"/>
        </w:rPr>
        <w:tab/>
      </w:r>
      <w:r>
        <w:rPr>
          <w:rFonts w:hint="eastAsia" w:ascii="黑体" w:hAnsi="黑体" w:eastAsia="黑体" w:cs="黑体"/>
          <w:b/>
          <w:bCs/>
          <w:sz w:val="24"/>
          <w:szCs w:val="24"/>
          <w:lang w:val="en-US" w:eastAsia="zh-CN"/>
        </w:rPr>
        <w:t>1</w:t>
      </w:r>
      <w:r>
        <w:rPr>
          <w:rStyle w:val="66"/>
          <w:rFonts w:hint="eastAsia" w:ascii="黑体" w:hAnsi="黑体" w:eastAsia="黑体" w:cs="黑体"/>
          <w:b/>
          <w:bCs/>
          <w:sz w:val="24"/>
          <w:szCs w:val="24"/>
        </w:rPr>
        <w:fldChar w:fldCharType="end"/>
      </w:r>
      <w:r>
        <w:rPr>
          <w:rStyle w:val="66"/>
          <w:rFonts w:hint="eastAsia" w:ascii="黑体" w:hAnsi="黑体" w:eastAsia="黑体" w:cs="黑体"/>
          <w:b/>
          <w:bCs/>
          <w:sz w:val="24"/>
          <w:szCs w:val="24"/>
          <w:lang w:val="en-US" w:eastAsia="zh-CN"/>
        </w:rPr>
        <w:t>8</w:t>
      </w:r>
    </w:p>
    <w:p w14:paraId="44007A49">
      <w:pPr>
        <w:pStyle w:val="47"/>
        <w:keepNext w:val="0"/>
        <w:keepLines w:val="0"/>
        <w:pageBreakBefore w:val="0"/>
        <w:widowControl w:val="0"/>
        <w:tabs>
          <w:tab w:val="right" w:leader="dot" w:pos="9402"/>
        </w:tabs>
        <w:kinsoku/>
        <w:wordWrap/>
        <w:overflowPunct/>
        <w:topLinePunct w:val="0"/>
        <w:autoSpaceDE/>
        <w:autoSpaceDN/>
        <w:bidi w:val="0"/>
        <w:adjustRightInd/>
        <w:snapToGrid/>
        <w:spacing w:line="600" w:lineRule="exact"/>
        <w:ind w:left="560"/>
        <w:jc w:val="left"/>
        <w:textAlignment w:val="auto"/>
        <w:rPr>
          <w:rFonts w:hint="eastAsia" w:ascii="黑体" w:hAnsi="黑体" w:eastAsia="黑体" w:cs="黑体"/>
          <w:b/>
          <w:bCs/>
          <w:sz w:val="24"/>
          <w:szCs w:val="24"/>
          <w:lang w:val="en-US" w:eastAsia="zh-CN"/>
        </w:rPr>
      </w:pPr>
      <w:r>
        <w:rPr>
          <w:rStyle w:val="66"/>
          <w:rFonts w:hint="eastAsia" w:ascii="黑体" w:hAnsi="黑体" w:eastAsia="黑体" w:cs="黑体"/>
          <w:b/>
          <w:bCs/>
          <w:sz w:val="24"/>
          <w:szCs w:val="24"/>
        </w:rPr>
        <w:fldChar w:fldCharType="begin"/>
      </w:r>
      <w:r>
        <w:rPr>
          <w:rStyle w:val="66"/>
          <w:rFonts w:hint="eastAsia" w:ascii="黑体" w:hAnsi="黑体" w:eastAsia="黑体" w:cs="黑体"/>
          <w:b/>
          <w:bCs/>
          <w:sz w:val="24"/>
          <w:szCs w:val="24"/>
        </w:rPr>
        <w:instrText xml:space="preserve"> </w:instrText>
      </w:r>
      <w:r>
        <w:rPr>
          <w:rFonts w:hint="eastAsia" w:ascii="黑体" w:hAnsi="黑体" w:eastAsia="黑体" w:cs="黑体"/>
          <w:b/>
          <w:bCs/>
          <w:sz w:val="24"/>
          <w:szCs w:val="24"/>
        </w:rPr>
        <w:instrText xml:space="preserve">HYPERLINK \l "_Toc106034807"</w:instrText>
      </w:r>
      <w:r>
        <w:rPr>
          <w:rStyle w:val="66"/>
          <w:rFonts w:hint="eastAsia" w:ascii="黑体" w:hAnsi="黑体" w:eastAsia="黑体" w:cs="黑体"/>
          <w:b/>
          <w:bCs/>
          <w:sz w:val="24"/>
          <w:szCs w:val="24"/>
        </w:rPr>
        <w:instrText xml:space="preserve"> </w:instrText>
      </w:r>
      <w:r>
        <w:rPr>
          <w:rStyle w:val="66"/>
          <w:rFonts w:hint="eastAsia" w:ascii="黑体" w:hAnsi="黑体" w:eastAsia="黑体" w:cs="黑体"/>
          <w:b/>
          <w:bCs/>
          <w:sz w:val="24"/>
          <w:szCs w:val="24"/>
        </w:rPr>
        <w:fldChar w:fldCharType="separate"/>
      </w:r>
      <w:r>
        <w:rPr>
          <w:rStyle w:val="66"/>
          <w:rFonts w:hint="eastAsia" w:ascii="黑体" w:hAnsi="黑体" w:eastAsia="黑体" w:cs="黑体"/>
          <w:b/>
          <w:bCs/>
          <w:sz w:val="24"/>
          <w:szCs w:val="24"/>
        </w:rPr>
        <w:t>第七篇  响应文件格式要求</w:t>
      </w:r>
      <w:r>
        <w:rPr>
          <w:rFonts w:hint="eastAsia" w:ascii="黑体" w:hAnsi="黑体" w:eastAsia="黑体" w:cs="黑体"/>
          <w:b/>
          <w:bCs/>
          <w:sz w:val="24"/>
          <w:szCs w:val="24"/>
        </w:rPr>
        <w:tab/>
      </w:r>
      <w:r>
        <w:rPr>
          <w:rFonts w:hint="eastAsia" w:ascii="黑体" w:hAnsi="黑体" w:eastAsia="黑体" w:cs="黑体"/>
          <w:b/>
          <w:bCs/>
          <w:sz w:val="24"/>
          <w:szCs w:val="24"/>
          <w:lang w:val="en-US" w:eastAsia="zh-CN"/>
        </w:rPr>
        <w:t>1</w:t>
      </w:r>
      <w:r>
        <w:rPr>
          <w:rStyle w:val="66"/>
          <w:rFonts w:hint="eastAsia" w:ascii="黑体" w:hAnsi="黑体" w:eastAsia="黑体" w:cs="黑体"/>
          <w:b/>
          <w:bCs/>
          <w:sz w:val="24"/>
          <w:szCs w:val="24"/>
        </w:rPr>
        <w:fldChar w:fldCharType="end"/>
      </w:r>
      <w:r>
        <w:rPr>
          <w:rStyle w:val="66"/>
          <w:rFonts w:hint="eastAsia" w:ascii="黑体" w:hAnsi="黑体" w:eastAsia="黑体" w:cs="黑体"/>
          <w:b/>
          <w:bCs/>
          <w:sz w:val="24"/>
          <w:szCs w:val="24"/>
          <w:lang w:val="en-US" w:eastAsia="zh-CN"/>
        </w:rPr>
        <w:t>9</w:t>
      </w:r>
    </w:p>
    <w:p w14:paraId="2CDE9594">
      <w:pPr>
        <w:pStyle w:val="47"/>
        <w:keepNext w:val="0"/>
        <w:keepLines w:val="0"/>
        <w:pageBreakBefore w:val="0"/>
        <w:widowControl w:val="0"/>
        <w:tabs>
          <w:tab w:val="right" w:leader="dot" w:pos="9402"/>
        </w:tabs>
        <w:kinsoku/>
        <w:wordWrap/>
        <w:overflowPunct/>
        <w:topLinePunct w:val="0"/>
        <w:autoSpaceDE/>
        <w:autoSpaceDN/>
        <w:bidi w:val="0"/>
        <w:adjustRightInd/>
        <w:snapToGrid/>
        <w:spacing w:line="400" w:lineRule="exact"/>
        <w:ind w:left="560"/>
        <w:jc w:val="left"/>
        <w:textAlignment w:val="auto"/>
        <w:rPr>
          <w:rFonts w:hint="eastAsia" w:ascii="黑体" w:hAnsi="黑体" w:eastAsia="黑体" w:cs="黑体"/>
          <w:sz w:val="24"/>
          <w:szCs w:val="24"/>
        </w:rPr>
      </w:pPr>
    </w:p>
    <w:p w14:paraId="335D53EB">
      <w:pPr>
        <w:jc w:val="left"/>
        <w:rPr>
          <w:rFonts w:hint="eastAsia" w:ascii="黑体" w:hAnsi="黑体" w:eastAsia="黑体" w:cs="黑体"/>
          <w:sz w:val="24"/>
          <w:szCs w:val="24"/>
        </w:rPr>
      </w:pPr>
      <w:r>
        <w:rPr>
          <w:rFonts w:hint="eastAsia" w:ascii="黑体" w:hAnsi="黑体" w:eastAsia="黑体" w:cs="黑体"/>
          <w:sz w:val="24"/>
          <w:szCs w:val="24"/>
        </w:rPr>
        <w:fldChar w:fldCharType="end"/>
      </w:r>
    </w:p>
    <w:p w14:paraId="63830A95">
      <w:pPr>
        <w:bidi w:val="0"/>
        <w:rPr>
          <w:rFonts w:hint="eastAsia" w:ascii="Times New Roman" w:hAnsi="Times New Roman" w:eastAsia="宋体" w:cs="Times New Roman"/>
          <w:kern w:val="2"/>
          <w:sz w:val="28"/>
          <w:lang w:val="en-US" w:eastAsia="zh-CN" w:bidi="ar-SA"/>
        </w:rPr>
      </w:pPr>
    </w:p>
    <w:p w14:paraId="0ED7031F">
      <w:pPr>
        <w:bidi w:val="0"/>
        <w:rPr>
          <w:rFonts w:hint="eastAsia"/>
          <w:lang w:val="en-US" w:eastAsia="zh-CN"/>
        </w:rPr>
      </w:pPr>
    </w:p>
    <w:p w14:paraId="599EFC8C">
      <w:pPr>
        <w:bidi w:val="0"/>
        <w:rPr>
          <w:rFonts w:hint="eastAsia"/>
          <w:lang w:val="en-US" w:eastAsia="zh-CN"/>
        </w:rPr>
      </w:pPr>
    </w:p>
    <w:p w14:paraId="53F441A0">
      <w:pPr>
        <w:bidi w:val="0"/>
        <w:rPr>
          <w:rFonts w:hint="eastAsia"/>
          <w:lang w:val="en-US" w:eastAsia="zh-CN"/>
        </w:rPr>
      </w:pPr>
    </w:p>
    <w:p w14:paraId="0CD23F57">
      <w:pPr>
        <w:bidi w:val="0"/>
        <w:rPr>
          <w:rFonts w:hint="eastAsia"/>
          <w:lang w:val="en-US" w:eastAsia="zh-CN"/>
        </w:rPr>
      </w:pPr>
    </w:p>
    <w:p w14:paraId="570794C7">
      <w:pPr>
        <w:bidi w:val="0"/>
        <w:rPr>
          <w:rFonts w:hint="eastAsia"/>
          <w:lang w:val="en-US" w:eastAsia="zh-CN"/>
        </w:rPr>
      </w:pPr>
    </w:p>
    <w:p w14:paraId="1A560395">
      <w:pPr>
        <w:bidi w:val="0"/>
        <w:rPr>
          <w:rFonts w:hint="eastAsia"/>
          <w:lang w:val="en-US" w:eastAsia="zh-CN"/>
        </w:rPr>
      </w:pPr>
    </w:p>
    <w:p w14:paraId="451CD4B9">
      <w:pPr>
        <w:bidi w:val="0"/>
        <w:rPr>
          <w:rFonts w:hint="eastAsia"/>
          <w:lang w:val="en-US" w:eastAsia="zh-CN"/>
        </w:rPr>
      </w:pPr>
    </w:p>
    <w:p w14:paraId="3AA8A33A">
      <w:pPr>
        <w:bidi w:val="0"/>
        <w:rPr>
          <w:rFonts w:hint="eastAsia"/>
          <w:lang w:val="en-US" w:eastAsia="zh-CN"/>
        </w:rPr>
      </w:pPr>
    </w:p>
    <w:p w14:paraId="74A5514C">
      <w:pPr>
        <w:bidi w:val="0"/>
        <w:rPr>
          <w:rFonts w:hint="eastAsia"/>
          <w:lang w:val="en-US" w:eastAsia="zh-CN"/>
        </w:rPr>
      </w:pPr>
    </w:p>
    <w:p w14:paraId="7A09B4DE">
      <w:pPr>
        <w:bidi w:val="0"/>
        <w:rPr>
          <w:rFonts w:hint="eastAsia"/>
          <w:lang w:val="en-US" w:eastAsia="zh-CN"/>
        </w:rPr>
      </w:pPr>
    </w:p>
    <w:p w14:paraId="7569EFE1">
      <w:pPr>
        <w:bidi w:val="0"/>
        <w:rPr>
          <w:rFonts w:hint="eastAsia"/>
          <w:lang w:val="en-US" w:eastAsia="zh-CN"/>
        </w:rPr>
      </w:pPr>
    </w:p>
    <w:p w14:paraId="7B37F617">
      <w:pPr>
        <w:bidi w:val="0"/>
        <w:rPr>
          <w:rFonts w:hint="eastAsia"/>
          <w:lang w:val="en-US" w:eastAsia="zh-CN"/>
        </w:rPr>
      </w:pPr>
    </w:p>
    <w:p w14:paraId="3CCAACAE">
      <w:pPr>
        <w:bidi w:val="0"/>
        <w:rPr>
          <w:rFonts w:hint="eastAsia"/>
          <w:lang w:val="en-US" w:eastAsia="zh-CN"/>
        </w:rPr>
      </w:pPr>
    </w:p>
    <w:p w14:paraId="61F175C0">
      <w:pPr>
        <w:bidi w:val="0"/>
        <w:rPr>
          <w:rFonts w:hint="eastAsia"/>
          <w:lang w:val="en-US" w:eastAsia="zh-CN"/>
        </w:rPr>
      </w:pPr>
    </w:p>
    <w:p w14:paraId="2F684BB6">
      <w:pPr>
        <w:bidi w:val="0"/>
        <w:rPr>
          <w:rFonts w:hint="eastAsia"/>
          <w:lang w:val="en-US" w:eastAsia="zh-CN"/>
        </w:rPr>
      </w:pPr>
    </w:p>
    <w:p w14:paraId="4438FBE3">
      <w:pPr>
        <w:bidi w:val="0"/>
        <w:rPr>
          <w:rFonts w:hint="eastAsia"/>
          <w:lang w:val="en-US" w:eastAsia="zh-CN"/>
        </w:rPr>
      </w:pPr>
    </w:p>
    <w:p w14:paraId="67714B3C">
      <w:pPr>
        <w:bidi w:val="0"/>
        <w:rPr>
          <w:rFonts w:hint="eastAsia"/>
          <w:lang w:val="en-US" w:eastAsia="zh-CN"/>
        </w:rPr>
      </w:pPr>
    </w:p>
    <w:p w14:paraId="58E867F6">
      <w:pPr>
        <w:bidi w:val="0"/>
        <w:rPr>
          <w:rFonts w:hint="eastAsia"/>
          <w:lang w:val="en-US" w:eastAsia="zh-CN"/>
        </w:rPr>
      </w:pPr>
    </w:p>
    <w:p w14:paraId="2963AF2F">
      <w:pPr>
        <w:bidi w:val="0"/>
        <w:rPr>
          <w:rFonts w:hint="eastAsia"/>
          <w:lang w:val="en-US" w:eastAsia="zh-CN"/>
        </w:rPr>
      </w:pPr>
    </w:p>
    <w:p w14:paraId="3D4E85E2">
      <w:pPr>
        <w:bidi w:val="0"/>
        <w:rPr>
          <w:rFonts w:hint="eastAsia"/>
          <w:lang w:val="en-US" w:eastAsia="zh-CN"/>
        </w:rPr>
      </w:pPr>
    </w:p>
    <w:p w14:paraId="0107087C">
      <w:pPr>
        <w:bidi w:val="0"/>
        <w:rPr>
          <w:rFonts w:hint="eastAsia"/>
          <w:lang w:val="en-US" w:eastAsia="zh-CN"/>
        </w:rPr>
      </w:pPr>
    </w:p>
    <w:p w14:paraId="56C3A760">
      <w:pPr>
        <w:bidi w:val="0"/>
        <w:rPr>
          <w:rFonts w:hint="eastAsia"/>
          <w:lang w:val="en-US" w:eastAsia="zh-CN"/>
        </w:rPr>
      </w:pPr>
    </w:p>
    <w:p w14:paraId="431214DE">
      <w:pPr>
        <w:bidi w:val="0"/>
        <w:rPr>
          <w:rFonts w:hint="eastAsia"/>
          <w:lang w:val="en-US" w:eastAsia="zh-CN"/>
        </w:rPr>
      </w:pPr>
    </w:p>
    <w:p w14:paraId="72EB4F76">
      <w:pPr>
        <w:bidi w:val="0"/>
        <w:rPr>
          <w:rFonts w:hint="eastAsia"/>
          <w:lang w:val="en-US" w:eastAsia="zh-CN"/>
        </w:rPr>
      </w:pPr>
    </w:p>
    <w:p w14:paraId="275B54ED">
      <w:pPr>
        <w:bidi w:val="0"/>
        <w:rPr>
          <w:rFonts w:hint="eastAsia"/>
          <w:lang w:val="en-US" w:eastAsia="zh-CN"/>
        </w:rPr>
      </w:pPr>
    </w:p>
    <w:p w14:paraId="07103F24">
      <w:pPr>
        <w:tabs>
          <w:tab w:val="center" w:pos="4535"/>
        </w:tabs>
        <w:bidi w:val="0"/>
        <w:jc w:val="left"/>
        <w:rPr>
          <w:rFonts w:hint="eastAsia"/>
          <w:lang w:val="en-US" w:eastAsia="zh-CN"/>
        </w:rPr>
        <w:sectPr>
          <w:headerReference r:id="rId9" w:type="default"/>
          <w:footerReference r:id="rId10" w:type="default"/>
          <w:pgSz w:w="11907" w:h="16840"/>
          <w:pgMar w:top="1418" w:right="1418" w:bottom="1418" w:left="1418" w:header="454" w:footer="1020" w:gutter="0"/>
          <w:pgNumType w:fmt="numberInDash" w:start="1"/>
          <w:cols w:space="720" w:num="1"/>
          <w:docGrid w:linePitch="381" w:charSpace="-5735"/>
        </w:sectPr>
      </w:pPr>
    </w:p>
    <w:p w14:paraId="43AE73AD">
      <w:pPr>
        <w:pStyle w:val="3"/>
        <w:spacing w:before="0" w:after="0" w:line="360" w:lineRule="auto"/>
        <w:jc w:val="center"/>
        <w:rPr>
          <w:rFonts w:hint="eastAsia" w:ascii="黑体" w:hAnsi="黑体" w:eastAsia="黑体" w:cs="黑体"/>
          <w:b/>
          <w:bCs/>
          <w:color w:val="000000"/>
          <w:sz w:val="32"/>
          <w:szCs w:val="32"/>
        </w:rPr>
      </w:pPr>
      <w:bookmarkStart w:id="1" w:name="_Toc106034769"/>
      <w:bookmarkStart w:id="2" w:name="_Toc15726"/>
      <w:bookmarkStart w:id="3" w:name="_Toc24173"/>
      <w:bookmarkStart w:id="4" w:name="_Toc24817"/>
      <w:bookmarkStart w:id="5" w:name="_Toc11641050"/>
      <w:bookmarkStart w:id="6" w:name="_Toc65660329"/>
      <w:bookmarkStart w:id="7" w:name="_Toc12789052"/>
      <w:r>
        <w:rPr>
          <w:rFonts w:hint="eastAsia" w:ascii="黑体" w:hAnsi="黑体" w:eastAsia="黑体" w:cs="黑体"/>
          <w:b/>
          <w:bCs/>
          <w:sz w:val="32"/>
          <w:szCs w:val="32"/>
        </w:rPr>
        <w:t>第一篇  采购邀请书</w:t>
      </w:r>
      <w:bookmarkEnd w:id="1"/>
      <w:bookmarkEnd w:id="2"/>
      <w:bookmarkEnd w:id="3"/>
      <w:bookmarkEnd w:id="4"/>
      <w:bookmarkEnd w:id="5"/>
      <w:bookmarkEnd w:id="6"/>
      <w:bookmarkEnd w:id="7"/>
    </w:p>
    <w:p w14:paraId="539BBE4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重庆渝开洋工程管理咨询有限公司</w:t>
      </w:r>
      <w:r>
        <w:rPr>
          <w:rFonts w:hint="eastAsia" w:ascii="黑体" w:hAnsi="黑体" w:eastAsia="黑体" w:cs="黑体"/>
          <w:color w:val="000000"/>
          <w:sz w:val="24"/>
          <w:szCs w:val="24"/>
          <w:lang w:eastAsia="zh-CN"/>
        </w:rPr>
        <w:t>（以下简称：采购代理机构）</w:t>
      </w:r>
      <w:r>
        <w:rPr>
          <w:rFonts w:hint="eastAsia" w:ascii="黑体" w:hAnsi="黑体" w:eastAsia="黑体" w:cs="黑体"/>
          <w:color w:val="000000"/>
          <w:sz w:val="24"/>
          <w:szCs w:val="24"/>
        </w:rPr>
        <w:t>受</w:t>
      </w:r>
      <w:r>
        <w:rPr>
          <w:rFonts w:hint="eastAsia" w:ascii="黑体" w:hAnsi="黑体" w:eastAsia="黑体" w:cs="黑体"/>
          <w:color w:val="000000"/>
          <w:sz w:val="24"/>
          <w:szCs w:val="24"/>
          <w:u w:val="single"/>
        </w:rPr>
        <w:t>重庆市轻工业学校</w:t>
      </w:r>
      <w:r>
        <w:rPr>
          <w:rFonts w:hint="eastAsia" w:ascii="黑体" w:hAnsi="黑体" w:eastAsia="黑体" w:cs="黑体"/>
          <w:color w:val="000000"/>
          <w:sz w:val="24"/>
          <w:szCs w:val="24"/>
          <w:lang w:eastAsia="zh-CN"/>
        </w:rPr>
        <w:t>（以下简称：采购人）</w:t>
      </w:r>
      <w:r>
        <w:rPr>
          <w:rFonts w:hint="eastAsia" w:ascii="黑体" w:hAnsi="黑体" w:eastAsia="黑体" w:cs="黑体"/>
          <w:color w:val="000000"/>
          <w:sz w:val="24"/>
          <w:szCs w:val="24"/>
        </w:rPr>
        <w:t>的委托，对</w:t>
      </w:r>
      <w:r>
        <w:rPr>
          <w:rFonts w:hint="eastAsia" w:ascii="黑体" w:hAnsi="黑体" w:eastAsia="黑体" w:cs="黑体"/>
          <w:color w:val="auto"/>
          <w:sz w:val="21"/>
          <w:szCs w:val="21"/>
          <w:u w:val="single"/>
          <w:lang w:eastAsia="zh-CN"/>
        </w:rPr>
        <w:t>重庆市轻工业学校</w:t>
      </w:r>
      <w:r>
        <w:rPr>
          <w:rFonts w:hint="eastAsia" w:ascii="黑体" w:hAnsi="黑体" w:eastAsia="黑体" w:cs="黑体"/>
          <w:color w:val="auto"/>
          <w:sz w:val="21"/>
          <w:szCs w:val="21"/>
          <w:u w:val="single"/>
          <w:lang w:val="en-US" w:eastAsia="zh-CN"/>
        </w:rPr>
        <w:t>2026-2028年学生体检服务（第二次）</w:t>
      </w:r>
      <w:r>
        <w:rPr>
          <w:rFonts w:hint="eastAsia" w:ascii="黑体" w:hAnsi="黑体" w:eastAsia="黑体" w:cs="黑体"/>
          <w:color w:val="000000"/>
          <w:sz w:val="24"/>
          <w:szCs w:val="24"/>
          <w:u w:val="none"/>
          <w:lang w:eastAsia="zh-CN"/>
        </w:rPr>
        <w:t>项目</w:t>
      </w:r>
      <w:r>
        <w:rPr>
          <w:rFonts w:hint="eastAsia" w:ascii="黑体" w:hAnsi="黑体" w:eastAsia="黑体" w:cs="黑体"/>
          <w:color w:val="000000"/>
          <w:sz w:val="24"/>
          <w:szCs w:val="24"/>
        </w:rPr>
        <w:t>进行</w:t>
      </w:r>
      <w:r>
        <w:rPr>
          <w:rFonts w:hint="eastAsia" w:ascii="黑体" w:hAnsi="黑体" w:eastAsia="黑体" w:cs="黑体"/>
          <w:sz w:val="24"/>
          <w:szCs w:val="24"/>
          <w:lang w:eastAsia="zh-CN"/>
        </w:rPr>
        <w:t>询比</w:t>
      </w:r>
      <w:r>
        <w:rPr>
          <w:rFonts w:hint="eastAsia" w:ascii="黑体" w:hAnsi="黑体" w:eastAsia="黑体" w:cs="黑体"/>
          <w:sz w:val="24"/>
          <w:szCs w:val="24"/>
        </w:rPr>
        <w:t>采购</w:t>
      </w:r>
      <w:r>
        <w:rPr>
          <w:rFonts w:hint="eastAsia" w:ascii="黑体" w:hAnsi="黑体" w:eastAsia="黑体" w:cs="黑体"/>
          <w:color w:val="000000"/>
          <w:sz w:val="24"/>
          <w:szCs w:val="24"/>
        </w:rPr>
        <w:t>，欢迎有资格的供应商前来参</w:t>
      </w:r>
      <w:r>
        <w:rPr>
          <w:rFonts w:hint="eastAsia" w:ascii="黑体" w:hAnsi="黑体" w:eastAsia="黑体" w:cs="黑体"/>
          <w:color w:val="000000"/>
          <w:sz w:val="24"/>
          <w:szCs w:val="24"/>
          <w:lang w:eastAsia="zh-CN"/>
        </w:rPr>
        <w:t>加报价</w:t>
      </w:r>
      <w:r>
        <w:rPr>
          <w:rFonts w:hint="eastAsia" w:ascii="黑体" w:hAnsi="黑体" w:eastAsia="黑体" w:cs="黑体"/>
          <w:color w:val="000000"/>
          <w:sz w:val="24"/>
          <w:szCs w:val="24"/>
        </w:rPr>
        <w:t>。</w:t>
      </w:r>
      <w:bookmarkStart w:id="8" w:name="_Toc317775175"/>
      <w:bookmarkStart w:id="9" w:name="_Toc20320"/>
      <w:bookmarkStart w:id="10" w:name="_Toc6746"/>
      <w:bookmarkStart w:id="11" w:name="_Toc313893526"/>
    </w:p>
    <w:p w14:paraId="333CBE58">
      <w:pPr>
        <w:pStyle w:val="3"/>
        <w:pageBreakBefore w:val="0"/>
        <w:widowControl w:val="0"/>
        <w:numPr>
          <w:ilvl w:val="0"/>
          <w:numId w:val="13"/>
        </w:numPr>
        <w:kinsoku/>
        <w:wordWrap/>
        <w:overflowPunct/>
        <w:topLinePunct w:val="0"/>
        <w:autoSpaceDE/>
        <w:autoSpaceDN/>
        <w:bidi w:val="0"/>
        <w:adjustRightInd/>
        <w:snapToGrid/>
        <w:spacing w:before="0" w:after="0" w:line="440" w:lineRule="exact"/>
        <w:ind w:left="120" w:leftChars="0" w:firstLine="0" w:firstLineChars="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询比</w:t>
      </w:r>
      <w:r>
        <w:rPr>
          <w:rFonts w:hint="eastAsia" w:ascii="黑体" w:hAnsi="黑体" w:eastAsia="黑体" w:cs="黑体"/>
          <w:color w:val="000000"/>
          <w:sz w:val="24"/>
          <w:szCs w:val="24"/>
        </w:rPr>
        <w:t>内容</w:t>
      </w:r>
      <w:bookmarkEnd w:id="8"/>
      <w:bookmarkEnd w:id="9"/>
      <w:bookmarkEnd w:id="10"/>
      <w:bookmarkEnd w:id="11"/>
      <w:r>
        <w:rPr>
          <w:rFonts w:hint="eastAsia" w:ascii="黑体" w:hAnsi="黑体" w:eastAsia="黑体" w:cs="黑体"/>
          <w:color w:val="000000"/>
          <w:sz w:val="24"/>
          <w:szCs w:val="24"/>
        </w:rPr>
        <w:t xml:space="preserve"> </w:t>
      </w:r>
    </w:p>
    <w:tbl>
      <w:tblPr>
        <w:tblStyle w:val="60"/>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7"/>
        <w:gridCol w:w="1410"/>
        <w:gridCol w:w="1454"/>
        <w:gridCol w:w="2450"/>
        <w:gridCol w:w="1335"/>
      </w:tblGrid>
      <w:tr w14:paraId="53F4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vAlign w:val="center"/>
          </w:tcPr>
          <w:p w14:paraId="0878811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黑体" w:hAnsi="黑体" w:eastAsia="黑体" w:cs="黑体"/>
                <w:b/>
                <w:bCs/>
                <w:sz w:val="21"/>
                <w:szCs w:val="21"/>
                <w:vertAlign w:val="baseline"/>
              </w:rPr>
            </w:pPr>
            <w:r>
              <w:rPr>
                <w:rFonts w:hint="eastAsia" w:ascii="黑体" w:hAnsi="黑体" w:eastAsia="黑体" w:cs="黑体"/>
                <w:b/>
                <w:bCs/>
                <w:sz w:val="21"/>
                <w:szCs w:val="21"/>
                <w:lang w:eastAsia="zh-CN"/>
              </w:rPr>
              <w:t>项目名称</w:t>
            </w:r>
          </w:p>
        </w:tc>
        <w:tc>
          <w:tcPr>
            <w:tcW w:w="1410" w:type="dxa"/>
            <w:vAlign w:val="center"/>
          </w:tcPr>
          <w:p w14:paraId="78F7BD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黑体" w:hAnsi="黑体" w:eastAsia="黑体" w:cs="黑体"/>
                <w:b/>
                <w:bCs/>
                <w:sz w:val="21"/>
                <w:szCs w:val="21"/>
                <w:vertAlign w:val="baseline"/>
              </w:rPr>
            </w:pPr>
            <w:r>
              <w:rPr>
                <w:rFonts w:hint="eastAsia" w:ascii="黑体" w:hAnsi="黑体" w:eastAsia="黑体" w:cs="黑体"/>
                <w:b/>
                <w:bCs/>
                <w:color w:val="auto"/>
                <w:sz w:val="21"/>
                <w:szCs w:val="21"/>
                <w:highlight w:val="none"/>
              </w:rPr>
              <w:t>最高限价</w:t>
            </w:r>
            <w:r>
              <w:rPr>
                <w:rFonts w:hint="eastAsia" w:ascii="黑体" w:hAnsi="黑体" w:eastAsia="黑体" w:cs="黑体"/>
                <w:b/>
                <w:bCs/>
                <w:color w:val="auto"/>
                <w:sz w:val="21"/>
                <w:szCs w:val="21"/>
                <w:highlight w:val="none"/>
                <w:lang w:val="en-US" w:eastAsia="zh-CN"/>
              </w:rPr>
              <w:t xml:space="preserve">   </w:t>
            </w:r>
            <w:r>
              <w:rPr>
                <w:rFonts w:hint="eastAsia" w:ascii="黑体" w:hAnsi="黑体" w:eastAsia="黑体" w:cs="黑体"/>
                <w:b/>
                <w:bCs/>
                <w:color w:val="auto"/>
                <w:sz w:val="21"/>
                <w:szCs w:val="21"/>
                <w:highlight w:val="none"/>
              </w:rPr>
              <w:t>（元</w:t>
            </w:r>
            <w:r>
              <w:rPr>
                <w:rFonts w:hint="eastAsia" w:ascii="黑体" w:hAnsi="黑体" w:eastAsia="黑体" w:cs="黑体"/>
                <w:b/>
                <w:bCs/>
                <w:color w:val="auto"/>
                <w:sz w:val="21"/>
                <w:szCs w:val="21"/>
                <w:highlight w:val="none"/>
                <w:lang w:val="en-US" w:eastAsia="zh-CN"/>
              </w:rPr>
              <w:t>/人</w:t>
            </w:r>
            <w:r>
              <w:rPr>
                <w:rFonts w:hint="eastAsia" w:ascii="黑体" w:hAnsi="黑体" w:eastAsia="黑体" w:cs="黑体"/>
                <w:b/>
                <w:bCs/>
                <w:color w:val="auto"/>
                <w:sz w:val="21"/>
                <w:szCs w:val="21"/>
                <w:highlight w:val="none"/>
              </w:rPr>
              <w:t>）</w:t>
            </w:r>
          </w:p>
        </w:tc>
        <w:tc>
          <w:tcPr>
            <w:tcW w:w="1454" w:type="dxa"/>
            <w:vAlign w:val="center"/>
          </w:tcPr>
          <w:p w14:paraId="4595CDA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黑体" w:hAnsi="黑体" w:eastAsia="黑体" w:cs="黑体"/>
                <w:b/>
                <w:bCs/>
                <w:sz w:val="21"/>
                <w:szCs w:val="21"/>
                <w:vertAlign w:val="baseline"/>
              </w:rPr>
            </w:pPr>
            <w:r>
              <w:rPr>
                <w:rFonts w:hint="eastAsia" w:ascii="黑体" w:hAnsi="黑体" w:eastAsia="黑体" w:cs="黑体"/>
                <w:b/>
                <w:bCs/>
                <w:sz w:val="21"/>
                <w:szCs w:val="21"/>
              </w:rPr>
              <w:t>成交</w:t>
            </w:r>
            <w:r>
              <w:rPr>
                <w:rFonts w:hint="eastAsia" w:ascii="黑体" w:hAnsi="黑体" w:eastAsia="黑体" w:cs="黑体"/>
                <w:b/>
                <w:bCs/>
                <w:sz w:val="21"/>
                <w:szCs w:val="21"/>
                <w:lang w:eastAsia="zh-CN"/>
              </w:rPr>
              <w:t>供应商</w:t>
            </w:r>
            <w:r>
              <w:rPr>
                <w:rFonts w:hint="eastAsia" w:ascii="黑体" w:hAnsi="黑体" w:eastAsia="黑体" w:cs="黑体"/>
                <w:b/>
                <w:bCs/>
                <w:sz w:val="21"/>
                <w:szCs w:val="21"/>
              </w:rPr>
              <w:t>数量（名）</w:t>
            </w:r>
          </w:p>
        </w:tc>
        <w:tc>
          <w:tcPr>
            <w:tcW w:w="2450" w:type="dxa"/>
            <w:vAlign w:val="center"/>
          </w:tcPr>
          <w:p w14:paraId="5B0AD3A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firstLine="0" w:firstLineChars="0"/>
              <w:jc w:val="center"/>
              <w:textAlignment w:val="auto"/>
              <w:rPr>
                <w:rFonts w:hint="eastAsia" w:ascii="黑体" w:hAnsi="黑体" w:eastAsia="黑体" w:cs="黑体"/>
                <w:b/>
                <w:bCs/>
                <w:color w:val="auto"/>
                <w:sz w:val="21"/>
                <w:szCs w:val="21"/>
                <w:lang w:eastAsia="zh-CN"/>
              </w:rPr>
            </w:pPr>
            <w:r>
              <w:rPr>
                <w:rFonts w:hint="eastAsia" w:ascii="黑体" w:hAnsi="黑体" w:eastAsia="黑体" w:cs="黑体"/>
                <w:b/>
                <w:bCs/>
                <w:sz w:val="21"/>
                <w:szCs w:val="21"/>
              </w:rPr>
              <w:t>采购标的对应的中小企业划分标准所属行业</w:t>
            </w:r>
          </w:p>
        </w:tc>
        <w:tc>
          <w:tcPr>
            <w:tcW w:w="1335" w:type="dxa"/>
            <w:vAlign w:val="center"/>
          </w:tcPr>
          <w:p w14:paraId="78FF90EC">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黑体" w:hAnsi="黑体" w:eastAsia="黑体" w:cs="黑体"/>
                <w:b/>
                <w:bCs/>
                <w:sz w:val="21"/>
                <w:szCs w:val="21"/>
                <w:vertAlign w:val="baseline"/>
                <w:lang w:eastAsia="zh-CN"/>
              </w:rPr>
            </w:pPr>
            <w:r>
              <w:rPr>
                <w:rFonts w:hint="eastAsia" w:ascii="黑体" w:hAnsi="黑体" w:eastAsia="黑体" w:cs="黑体"/>
                <w:b/>
                <w:bCs/>
                <w:sz w:val="21"/>
                <w:szCs w:val="21"/>
                <w:vertAlign w:val="baseline"/>
                <w:lang w:eastAsia="zh-CN"/>
              </w:rPr>
              <w:t>备注</w:t>
            </w:r>
          </w:p>
        </w:tc>
      </w:tr>
      <w:tr w14:paraId="02E9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907" w:type="dxa"/>
            <w:vAlign w:val="center"/>
          </w:tcPr>
          <w:p w14:paraId="0A994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黑体" w:hAnsi="黑体" w:eastAsia="黑体" w:cs="黑体"/>
                <w:sz w:val="21"/>
                <w:szCs w:val="21"/>
                <w:vertAlign w:val="baseline"/>
                <w:lang w:val="en-US"/>
              </w:rPr>
            </w:pPr>
            <w:r>
              <w:rPr>
                <w:rFonts w:hint="eastAsia" w:ascii="黑体" w:hAnsi="黑体" w:eastAsia="黑体" w:cs="黑体"/>
                <w:color w:val="auto"/>
                <w:sz w:val="21"/>
                <w:szCs w:val="21"/>
                <w:u w:val="none"/>
                <w:lang w:eastAsia="zh-CN"/>
              </w:rPr>
              <w:t>重庆市轻工业学校</w:t>
            </w:r>
            <w:r>
              <w:rPr>
                <w:rFonts w:hint="eastAsia" w:ascii="黑体" w:hAnsi="黑体" w:eastAsia="黑体" w:cs="黑体"/>
                <w:color w:val="auto"/>
                <w:sz w:val="21"/>
                <w:szCs w:val="21"/>
                <w:u w:val="none"/>
                <w:lang w:val="en-US" w:eastAsia="zh-CN"/>
              </w:rPr>
              <w:t>2026-2028年学生体检服务（第二次）</w:t>
            </w:r>
          </w:p>
        </w:tc>
        <w:tc>
          <w:tcPr>
            <w:tcW w:w="1410" w:type="dxa"/>
            <w:vAlign w:val="center"/>
          </w:tcPr>
          <w:p w14:paraId="23885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1"/>
                <w:szCs w:val="21"/>
                <w:u w:val="none"/>
                <w:lang w:val="en-US" w:eastAsia="zh-CN"/>
              </w:rPr>
            </w:pPr>
            <w:r>
              <w:rPr>
                <w:rFonts w:hint="eastAsia" w:ascii="黑体" w:hAnsi="黑体" w:eastAsia="黑体" w:cs="黑体"/>
                <w:color w:val="000000"/>
                <w:sz w:val="21"/>
                <w:szCs w:val="21"/>
                <w:u w:val="none"/>
                <w:lang w:val="en-US" w:eastAsia="zh-CN"/>
              </w:rPr>
              <w:t>150.00</w:t>
            </w:r>
          </w:p>
        </w:tc>
        <w:tc>
          <w:tcPr>
            <w:tcW w:w="1454" w:type="dxa"/>
            <w:vAlign w:val="center"/>
          </w:tcPr>
          <w:p w14:paraId="040B0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1"/>
                <w:szCs w:val="21"/>
                <w:u w:val="none"/>
                <w:lang w:eastAsia="zh-CN"/>
              </w:rPr>
            </w:pPr>
            <w:r>
              <w:rPr>
                <w:rFonts w:hint="eastAsia" w:ascii="黑体" w:hAnsi="黑体" w:eastAsia="黑体" w:cs="黑体"/>
                <w:color w:val="000000"/>
                <w:sz w:val="21"/>
                <w:szCs w:val="21"/>
                <w:u w:val="none"/>
                <w:lang w:val="en-US" w:eastAsia="zh-CN"/>
              </w:rPr>
              <w:t>1</w:t>
            </w:r>
          </w:p>
        </w:tc>
        <w:tc>
          <w:tcPr>
            <w:tcW w:w="2450" w:type="dxa"/>
            <w:vAlign w:val="center"/>
          </w:tcPr>
          <w:p w14:paraId="43692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1"/>
                <w:szCs w:val="21"/>
                <w:u w:val="none"/>
                <w:lang w:eastAsia="zh-CN"/>
              </w:rPr>
            </w:pPr>
            <w:r>
              <w:rPr>
                <w:rFonts w:hint="eastAsia" w:ascii="黑体" w:hAnsi="黑体" w:eastAsia="黑体" w:cs="黑体"/>
                <w:color w:val="000000"/>
                <w:sz w:val="21"/>
                <w:szCs w:val="21"/>
                <w:u w:val="none"/>
                <w:lang w:eastAsia="zh-CN"/>
              </w:rPr>
              <w:t>其他未列明行业</w:t>
            </w:r>
          </w:p>
        </w:tc>
        <w:tc>
          <w:tcPr>
            <w:tcW w:w="1335" w:type="dxa"/>
            <w:vAlign w:val="center"/>
          </w:tcPr>
          <w:p w14:paraId="10C3672A">
            <w:pPr>
              <w:keepNext w:val="0"/>
              <w:keepLines w:val="0"/>
              <w:widowControl/>
              <w:numPr>
                <w:ilvl w:val="0"/>
                <w:numId w:val="0"/>
              </w:numPr>
              <w:suppressLineNumbers w:val="0"/>
              <w:kinsoku/>
              <w:autoSpaceDE/>
              <w:autoSpaceDN/>
              <w:adjustRightInd/>
              <w:snapToGrid/>
              <w:spacing w:before="0" w:beforeAutospacing="0" w:after="0" w:afterAutospacing="0"/>
              <w:ind w:left="0" w:right="0" w:firstLine="210" w:firstLineChars="100"/>
              <w:jc w:val="left"/>
              <w:textAlignment w:val="auto"/>
              <w:rPr>
                <w:rFonts w:hint="eastAsia" w:ascii="黑体" w:hAnsi="黑体" w:eastAsia="黑体" w:cs="黑体"/>
                <w:color w:val="000000"/>
                <w:sz w:val="21"/>
                <w:szCs w:val="21"/>
                <w:u w:val="none"/>
                <w:lang w:eastAsia="zh-CN"/>
              </w:rPr>
            </w:pPr>
          </w:p>
        </w:tc>
      </w:tr>
    </w:tbl>
    <w:p w14:paraId="1E650AE1">
      <w:pPr>
        <w:pStyle w:val="3"/>
        <w:pageBreakBefore w:val="0"/>
        <w:widowControl w:val="0"/>
        <w:kinsoku/>
        <w:wordWrap/>
        <w:overflowPunct/>
        <w:topLinePunct w:val="0"/>
        <w:autoSpaceDE/>
        <w:autoSpaceDN/>
        <w:bidi w:val="0"/>
        <w:adjustRightInd/>
        <w:spacing w:before="0" w:after="0" w:line="430" w:lineRule="exact"/>
        <w:ind w:firstLine="482" w:firstLineChars="200"/>
        <w:jc w:val="left"/>
        <w:textAlignment w:val="auto"/>
        <w:rPr>
          <w:rFonts w:hint="eastAsia" w:ascii="黑体" w:hAnsi="黑体" w:eastAsia="黑体" w:cs="黑体"/>
          <w:color w:val="000000"/>
          <w:sz w:val="24"/>
          <w:szCs w:val="24"/>
        </w:rPr>
      </w:pPr>
      <w:bookmarkStart w:id="12" w:name="_Toc18805"/>
      <w:bookmarkStart w:id="13" w:name="_Toc15933"/>
      <w:bookmarkStart w:id="14" w:name="_Toc373860293"/>
      <w:bookmarkStart w:id="15" w:name="_Toc317775178"/>
      <w:r>
        <w:rPr>
          <w:rFonts w:hint="eastAsia" w:ascii="黑体" w:hAnsi="黑体" w:eastAsia="黑体" w:cs="黑体"/>
          <w:color w:val="000000"/>
          <w:sz w:val="24"/>
          <w:szCs w:val="24"/>
        </w:rPr>
        <w:t>二、资金来源</w:t>
      </w:r>
      <w:bookmarkEnd w:id="12"/>
      <w:bookmarkEnd w:id="13"/>
    </w:p>
    <w:p w14:paraId="702C47FF">
      <w:pPr>
        <w:pStyle w:val="3"/>
        <w:pageBreakBefore w:val="0"/>
        <w:widowControl w:val="0"/>
        <w:kinsoku/>
        <w:wordWrap/>
        <w:overflowPunct/>
        <w:topLinePunct w:val="0"/>
        <w:autoSpaceDE/>
        <w:autoSpaceDN/>
        <w:bidi w:val="0"/>
        <w:adjustRightInd/>
        <w:spacing w:before="0" w:after="0" w:line="430" w:lineRule="exact"/>
        <w:ind w:firstLine="480" w:firstLineChars="200"/>
        <w:jc w:val="left"/>
        <w:textAlignment w:val="auto"/>
        <w:rPr>
          <w:rFonts w:hint="eastAsia" w:ascii="黑体" w:hAnsi="黑体" w:eastAsia="黑体" w:cs="黑体"/>
          <w:b w:val="0"/>
          <w:bCs/>
          <w:color w:val="000000"/>
          <w:sz w:val="24"/>
          <w:szCs w:val="24"/>
          <w:lang w:eastAsia="zh-CN"/>
        </w:rPr>
      </w:pPr>
      <w:r>
        <w:rPr>
          <w:rFonts w:hint="eastAsia" w:ascii="黑体" w:hAnsi="黑体" w:eastAsia="黑体" w:cs="黑体"/>
          <w:b w:val="0"/>
          <w:bCs/>
          <w:color w:val="000000"/>
          <w:sz w:val="24"/>
          <w:szCs w:val="24"/>
          <w:lang w:val="en-US" w:eastAsia="zh-CN"/>
        </w:rPr>
        <w:t>资金来源为</w:t>
      </w:r>
      <w:r>
        <w:rPr>
          <w:rFonts w:hint="eastAsia" w:ascii="黑体" w:hAnsi="黑体" w:eastAsia="黑体" w:cs="黑体"/>
          <w:b w:val="0"/>
          <w:bCs/>
          <w:color w:val="000000"/>
          <w:sz w:val="24"/>
          <w:szCs w:val="24"/>
          <w:lang w:eastAsia="zh-CN"/>
        </w:rPr>
        <w:t>学生个人现场缴纳。</w:t>
      </w:r>
    </w:p>
    <w:p w14:paraId="348748D9">
      <w:pPr>
        <w:pStyle w:val="3"/>
        <w:pageBreakBefore w:val="0"/>
        <w:widowControl w:val="0"/>
        <w:kinsoku/>
        <w:wordWrap/>
        <w:overflowPunct/>
        <w:topLinePunct w:val="0"/>
        <w:autoSpaceDE/>
        <w:autoSpaceDN/>
        <w:bidi w:val="0"/>
        <w:adjustRightInd/>
        <w:spacing w:before="0" w:after="0" w:line="430" w:lineRule="exact"/>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    </w:t>
      </w:r>
      <w:bookmarkStart w:id="16" w:name="_Toc29003"/>
      <w:bookmarkStart w:id="17" w:name="_Toc22187"/>
      <w:r>
        <w:rPr>
          <w:rFonts w:hint="eastAsia" w:ascii="黑体" w:hAnsi="黑体" w:eastAsia="黑体" w:cs="黑体"/>
          <w:color w:val="000000"/>
          <w:sz w:val="24"/>
          <w:szCs w:val="24"/>
        </w:rPr>
        <w:t>三、</w:t>
      </w:r>
      <w:bookmarkEnd w:id="16"/>
      <w:bookmarkEnd w:id="17"/>
      <w:r>
        <w:rPr>
          <w:rFonts w:hint="eastAsia" w:ascii="黑体" w:hAnsi="黑体" w:eastAsia="黑体" w:cs="黑体"/>
          <w:color w:val="000000"/>
          <w:sz w:val="24"/>
          <w:szCs w:val="24"/>
        </w:rPr>
        <w:t>供应商资格条件</w:t>
      </w:r>
    </w:p>
    <w:p w14:paraId="2CBD0AAB">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供应商是指向采购人提供服务或者货物的法人、其他组织或者自然人。合格的供应商应首先符合《政府采购法》第二十二条规定的基本资格条件</w:t>
      </w:r>
      <w:r>
        <w:rPr>
          <w:rFonts w:hint="eastAsia" w:ascii="黑体" w:hAnsi="黑体" w:eastAsia="黑体" w:cs="黑体"/>
          <w:color w:val="auto"/>
          <w:sz w:val="24"/>
          <w:szCs w:val="24"/>
          <w:highlight w:val="none"/>
          <w:lang w:eastAsia="zh-CN"/>
        </w:rPr>
        <w:t>。</w:t>
      </w:r>
    </w:p>
    <w:p w14:paraId="2A489D7D">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（一）基本资格条件</w:t>
      </w:r>
    </w:p>
    <w:p w14:paraId="04653A18">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1.具有独立承担民事责任的能力；</w:t>
      </w:r>
    </w:p>
    <w:p w14:paraId="774C1C12">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2.具有良好的商业信誉和健全的财务会计制度；</w:t>
      </w:r>
    </w:p>
    <w:p w14:paraId="23A2993A">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3.具有履行合同所必需的设备和专业技术能力；</w:t>
      </w:r>
    </w:p>
    <w:p w14:paraId="4339CFF7">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4.有依法缴纳税收和社会保障资金的良好记录；</w:t>
      </w:r>
    </w:p>
    <w:p w14:paraId="27442310">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5.参加采购活动前三年内，在经营活动中没有重大违法记录；</w:t>
      </w:r>
    </w:p>
    <w:p w14:paraId="2233E886">
      <w:pPr>
        <w:pageBreakBefore w:val="0"/>
        <w:widowControl w:val="0"/>
        <w:kinsoku/>
        <w:wordWrap/>
        <w:overflowPunct/>
        <w:topLinePunct w:val="0"/>
        <w:autoSpaceDE/>
        <w:autoSpaceDN/>
        <w:bidi w:val="0"/>
        <w:adjustRightInd/>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color w:val="auto"/>
          <w:sz w:val="24"/>
          <w:szCs w:val="24"/>
        </w:rPr>
        <w:t>6.法律、行政法规规定的其他条件。</w:t>
      </w:r>
    </w:p>
    <w:p w14:paraId="53D97E1C">
      <w:pPr>
        <w:pageBreakBefore w:val="0"/>
        <w:widowControl w:val="0"/>
        <w:kinsoku/>
        <w:wordWrap/>
        <w:overflowPunct/>
        <w:topLinePunct w:val="0"/>
        <w:autoSpaceDE/>
        <w:autoSpaceDN/>
        <w:bidi w:val="0"/>
        <w:adjustRightInd/>
        <w:spacing w:line="430" w:lineRule="exact"/>
        <w:ind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（二）</w:t>
      </w:r>
      <w:r>
        <w:rPr>
          <w:rFonts w:hint="eastAsia" w:ascii="黑体" w:hAnsi="黑体" w:eastAsia="黑体" w:cs="黑体"/>
          <w:color w:val="auto"/>
          <w:sz w:val="24"/>
          <w:szCs w:val="24"/>
        </w:rPr>
        <w:t>落实政府采购政策需满足的资格要求：</w:t>
      </w:r>
      <w:r>
        <w:rPr>
          <w:rFonts w:hint="eastAsia" w:ascii="黑体" w:hAnsi="黑体" w:eastAsia="黑体" w:cs="黑体"/>
          <w:color w:val="auto"/>
          <w:sz w:val="24"/>
          <w:szCs w:val="24"/>
          <w:lang w:eastAsia="zh-CN"/>
        </w:rPr>
        <w:t>无。</w:t>
      </w:r>
    </w:p>
    <w:p w14:paraId="1FB58422">
      <w:pPr>
        <w:pageBreakBefore w:val="0"/>
        <w:widowControl w:val="0"/>
        <w:kinsoku/>
        <w:wordWrap/>
        <w:overflowPunct/>
        <w:topLinePunct w:val="0"/>
        <w:autoSpaceDE/>
        <w:autoSpaceDN/>
        <w:bidi w:val="0"/>
        <w:adjustRightInd/>
        <w:spacing w:line="430" w:lineRule="exact"/>
        <w:ind w:firstLine="480" w:firstLineChars="200"/>
        <w:jc w:val="left"/>
        <w:textAlignment w:val="auto"/>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（三）本项目的特定资格要求</w:t>
      </w:r>
      <w:r>
        <w:rPr>
          <w:rFonts w:hint="eastAsia" w:ascii="黑体" w:hAnsi="黑体" w:eastAsia="黑体" w:cs="黑体"/>
          <w:color w:val="auto"/>
          <w:sz w:val="24"/>
          <w:szCs w:val="24"/>
          <w:lang w:eastAsia="zh-CN"/>
        </w:rPr>
        <w:t>：</w:t>
      </w:r>
      <w:r>
        <w:rPr>
          <w:rFonts w:hint="eastAsia" w:ascii="黑体" w:hAnsi="黑体" w:eastAsia="黑体" w:cs="黑体"/>
          <w:i w:val="0"/>
          <w:iCs w:val="0"/>
          <w:caps w:val="0"/>
          <w:color w:val="0F1115"/>
          <w:spacing w:val="0"/>
          <w:sz w:val="24"/>
          <w:szCs w:val="24"/>
          <w:shd w:val="clear" w:fill="FFFFFF"/>
        </w:rPr>
        <w:t>供应商须为二级及以上综合医院，或具有卫生健康行政部门颁发的、诊疗科目包含“健康体检”的《医疗机构执业许可证》的专业体检机构。须提供有效的证书副本复印件并加盖供应商公章</w:t>
      </w:r>
      <w:r>
        <w:rPr>
          <w:rFonts w:hint="eastAsia" w:ascii="黑体" w:hAnsi="黑体" w:eastAsia="黑体" w:cs="黑体"/>
          <w:color w:val="auto"/>
          <w:sz w:val="24"/>
          <w:szCs w:val="24"/>
          <w:lang w:val="en-US" w:eastAsia="zh-CN"/>
        </w:rPr>
        <w:t>。</w:t>
      </w:r>
    </w:p>
    <w:bookmarkEnd w:id="14"/>
    <w:p w14:paraId="3969AAD1">
      <w:pPr>
        <w:pageBreakBefore w:val="0"/>
        <w:widowControl w:val="0"/>
        <w:kinsoku/>
        <w:wordWrap/>
        <w:overflowPunct/>
        <w:topLinePunct w:val="0"/>
        <w:autoSpaceDE/>
        <w:autoSpaceDN/>
        <w:bidi w:val="0"/>
        <w:adjustRightInd/>
        <w:spacing w:line="430" w:lineRule="exact"/>
        <w:ind w:firstLine="482" w:firstLineChars="200"/>
        <w:jc w:val="left"/>
        <w:textAlignment w:val="auto"/>
        <w:rPr>
          <w:rFonts w:hint="eastAsia" w:ascii="黑体" w:hAnsi="黑体" w:eastAsia="黑体" w:cs="黑体"/>
          <w:b/>
          <w:bCs/>
          <w:color w:val="000000"/>
          <w:sz w:val="24"/>
          <w:szCs w:val="24"/>
        </w:rPr>
      </w:pPr>
      <w:bookmarkStart w:id="18" w:name="_Toc4782"/>
      <w:bookmarkStart w:id="19" w:name="_Toc15319"/>
      <w:bookmarkStart w:id="20" w:name="_Toc14782"/>
      <w:bookmarkStart w:id="21" w:name="_Toc373860294"/>
      <w:r>
        <w:rPr>
          <w:rFonts w:hint="eastAsia" w:ascii="黑体" w:hAnsi="黑体" w:eastAsia="黑体" w:cs="黑体"/>
          <w:b/>
          <w:bCs/>
          <w:color w:val="000000"/>
          <w:sz w:val="24"/>
          <w:szCs w:val="24"/>
        </w:rPr>
        <w:t>四、</w:t>
      </w:r>
      <w:r>
        <w:rPr>
          <w:rFonts w:hint="eastAsia" w:ascii="黑体" w:hAnsi="黑体" w:eastAsia="黑体" w:cs="黑体"/>
          <w:b/>
          <w:bCs/>
          <w:color w:val="000000"/>
          <w:sz w:val="24"/>
          <w:szCs w:val="24"/>
          <w:lang w:eastAsia="zh-CN"/>
        </w:rPr>
        <w:t>询比</w:t>
      </w:r>
      <w:r>
        <w:rPr>
          <w:rFonts w:hint="eastAsia" w:ascii="黑体" w:hAnsi="黑体" w:eastAsia="黑体" w:cs="黑体"/>
          <w:b/>
          <w:bCs/>
          <w:color w:val="000000"/>
          <w:sz w:val="24"/>
          <w:szCs w:val="24"/>
        </w:rPr>
        <w:t>有关</w:t>
      </w:r>
      <w:bookmarkEnd w:id="18"/>
      <w:bookmarkEnd w:id="19"/>
      <w:bookmarkEnd w:id="20"/>
      <w:r>
        <w:rPr>
          <w:rFonts w:hint="eastAsia" w:ascii="黑体" w:hAnsi="黑体" w:eastAsia="黑体" w:cs="黑体"/>
          <w:b/>
          <w:bCs/>
          <w:color w:val="000000"/>
          <w:sz w:val="24"/>
          <w:szCs w:val="24"/>
        </w:rPr>
        <w:t>说明</w:t>
      </w:r>
    </w:p>
    <w:p w14:paraId="0133CFA2">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eastAsia="zh-CN"/>
        </w:rPr>
        <w:t>一</w:t>
      </w:r>
      <w:r>
        <w:rPr>
          <w:rFonts w:hint="eastAsia" w:ascii="黑体" w:hAnsi="黑体" w:eastAsia="黑体" w:cs="黑体"/>
          <w:sz w:val="24"/>
          <w:szCs w:val="24"/>
        </w:rPr>
        <w:t>）</w:t>
      </w:r>
      <w:r>
        <w:rPr>
          <w:rFonts w:hint="eastAsia" w:ascii="黑体" w:hAnsi="黑体" w:eastAsia="黑体" w:cs="黑体"/>
          <w:color w:val="auto"/>
          <w:sz w:val="24"/>
          <w:szCs w:val="24"/>
          <w:highlight w:val="none"/>
        </w:rPr>
        <w:t>凡有意参加</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的供应商，请于公告发布之日起至响应文件</w:t>
      </w:r>
      <w:r>
        <w:rPr>
          <w:rFonts w:hint="eastAsia" w:ascii="黑体" w:hAnsi="黑体" w:eastAsia="黑体" w:cs="黑体"/>
          <w:color w:val="auto"/>
          <w:sz w:val="24"/>
          <w:szCs w:val="24"/>
          <w:highlight w:val="none"/>
          <w:lang w:val="en-US" w:eastAsia="zh-CN"/>
        </w:rPr>
        <w:t>递交</w:t>
      </w:r>
      <w:r>
        <w:rPr>
          <w:rFonts w:hint="eastAsia" w:ascii="黑体" w:hAnsi="黑体" w:eastAsia="黑体" w:cs="黑体"/>
          <w:color w:val="auto"/>
          <w:sz w:val="24"/>
          <w:szCs w:val="24"/>
          <w:highlight w:val="none"/>
        </w:rPr>
        <w:t>截止时间之前</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在</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kern w:val="0"/>
          <w:sz w:val="24"/>
          <w:szCs w:val="24"/>
          <w:highlight w:val="none"/>
          <w:lang w:eastAsia="zh-CN"/>
        </w:rPr>
        <w:t>重庆市轻工业学校官网（https://www.cqqgx.com/）</w:t>
      </w:r>
      <w:r>
        <w:rPr>
          <w:rFonts w:hint="eastAsia" w:ascii="宋体" w:hAnsi="宋体" w:eastAsia="宋体" w:cs="宋体"/>
          <w:color w:val="auto"/>
          <w:kern w:val="0"/>
          <w:sz w:val="24"/>
          <w:szCs w:val="24"/>
          <w:highlight w:val="none"/>
          <w:lang w:eastAsia="zh-CN"/>
        </w:rPr>
        <w:t>”</w:t>
      </w:r>
      <w:r>
        <w:rPr>
          <w:rFonts w:hint="eastAsia" w:ascii="黑体" w:hAnsi="黑体" w:eastAsia="黑体" w:cs="黑体"/>
          <w:color w:val="auto"/>
          <w:sz w:val="24"/>
          <w:szCs w:val="24"/>
          <w:highlight w:val="none"/>
        </w:rPr>
        <w:t>下载</w:t>
      </w:r>
      <w:r>
        <w:rPr>
          <w:rFonts w:hint="eastAsia" w:ascii="黑体" w:hAnsi="黑体" w:eastAsia="黑体" w:cs="黑体"/>
          <w:color w:val="auto"/>
          <w:sz w:val="24"/>
          <w:szCs w:val="24"/>
          <w:highlight w:val="none"/>
          <w:lang w:eastAsia="zh-CN"/>
        </w:rPr>
        <w:t>查看</w:t>
      </w:r>
      <w:r>
        <w:rPr>
          <w:rFonts w:hint="eastAsia" w:ascii="黑体" w:hAnsi="黑体" w:eastAsia="黑体" w:cs="黑体"/>
          <w:color w:val="auto"/>
          <w:sz w:val="24"/>
          <w:szCs w:val="24"/>
          <w:highlight w:val="none"/>
        </w:rPr>
        <w:t>或到采购代理机构处领取本项目</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文件以及澄清等</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前公布的所有项目资料，无论供应商下载或领取与否，均视为已知晓所有</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实质性要求内容</w:t>
      </w:r>
      <w:r>
        <w:rPr>
          <w:rFonts w:hint="eastAsia" w:ascii="黑体" w:hAnsi="黑体" w:eastAsia="黑体" w:cs="黑体"/>
          <w:sz w:val="24"/>
          <w:szCs w:val="24"/>
        </w:rPr>
        <w:t>。</w:t>
      </w:r>
    </w:p>
    <w:p w14:paraId="59A7923C">
      <w:pPr>
        <w:pageBreakBefore w:val="0"/>
        <w:widowControl w:val="0"/>
        <w:kinsoku/>
        <w:wordWrap/>
        <w:overflowPunct/>
        <w:topLinePunct w:val="0"/>
        <w:autoSpaceDE/>
        <w:autoSpaceDN/>
        <w:bidi w:val="0"/>
        <w:adjustRightInd/>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（三）</w:t>
      </w:r>
      <w:r>
        <w:rPr>
          <w:rFonts w:hint="eastAsia" w:ascii="黑体" w:hAnsi="黑体" w:eastAsia="黑体" w:cs="黑体"/>
          <w:sz w:val="24"/>
          <w:szCs w:val="24"/>
          <w:lang w:val="en-US" w:eastAsia="zh-CN"/>
        </w:rPr>
        <w:t>询比</w:t>
      </w:r>
      <w:r>
        <w:rPr>
          <w:rFonts w:hint="eastAsia" w:ascii="黑体" w:hAnsi="黑体" w:eastAsia="黑体" w:cs="黑体"/>
          <w:sz w:val="24"/>
          <w:szCs w:val="24"/>
        </w:rPr>
        <w:t>公告期限：自采购公告发布之日起</w:t>
      </w:r>
      <w:r>
        <w:rPr>
          <w:rFonts w:hint="eastAsia" w:ascii="黑体" w:hAnsi="黑体" w:eastAsia="黑体" w:cs="黑体"/>
          <w:color w:val="auto"/>
          <w:sz w:val="24"/>
          <w:szCs w:val="24"/>
          <w:highlight w:val="none"/>
          <w:lang w:eastAsia="zh-CN"/>
        </w:rPr>
        <w:t>二</w:t>
      </w:r>
      <w:r>
        <w:rPr>
          <w:rFonts w:hint="eastAsia" w:ascii="黑体" w:hAnsi="黑体" w:eastAsia="黑体" w:cs="黑体"/>
          <w:sz w:val="24"/>
          <w:szCs w:val="24"/>
        </w:rPr>
        <w:t>个工作日。</w:t>
      </w:r>
    </w:p>
    <w:p w14:paraId="4AAA0748">
      <w:pPr>
        <w:pageBreakBefore w:val="0"/>
        <w:widowControl w:val="0"/>
        <w:kinsoku/>
        <w:wordWrap/>
        <w:overflowPunct/>
        <w:topLinePunct w:val="0"/>
        <w:autoSpaceDE/>
        <w:autoSpaceDN/>
        <w:bidi w:val="0"/>
        <w:adjustRightInd/>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（四）</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文件</w:t>
      </w:r>
      <w:r>
        <w:rPr>
          <w:rFonts w:hint="eastAsia" w:ascii="黑体" w:hAnsi="黑体" w:eastAsia="黑体" w:cs="黑体"/>
          <w:sz w:val="24"/>
          <w:szCs w:val="24"/>
          <w:lang w:val="en-US" w:eastAsia="zh-CN"/>
        </w:rPr>
        <w:t>提供</w:t>
      </w:r>
      <w:r>
        <w:rPr>
          <w:rFonts w:hint="eastAsia" w:ascii="黑体" w:hAnsi="黑体" w:eastAsia="黑体" w:cs="黑体"/>
          <w:sz w:val="24"/>
          <w:szCs w:val="24"/>
        </w:rPr>
        <w:t>期限</w:t>
      </w:r>
    </w:p>
    <w:p w14:paraId="6A633C1D">
      <w:pPr>
        <w:pageBreakBefore w:val="0"/>
        <w:widowControl w:val="0"/>
        <w:kinsoku/>
        <w:wordWrap/>
        <w:overflowPunct/>
        <w:topLinePunct w:val="0"/>
        <w:autoSpaceDE/>
        <w:autoSpaceDN/>
        <w:bidi w:val="0"/>
        <w:adjustRightInd/>
        <w:spacing w:line="430" w:lineRule="exact"/>
        <w:ind w:left="716" w:leftChars="170" w:hanging="240" w:hangingChars="100"/>
        <w:jc w:val="left"/>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rPr>
        <w:t>1.</w:t>
      </w:r>
      <w:r>
        <w:rPr>
          <w:rFonts w:hint="eastAsia" w:ascii="黑体" w:hAnsi="黑体" w:eastAsia="黑体" w:cs="黑体"/>
          <w:color w:val="auto"/>
          <w:sz w:val="24"/>
          <w:szCs w:val="24"/>
          <w:lang w:val="en-US" w:eastAsia="zh-CN"/>
        </w:rPr>
        <w:t>询比</w:t>
      </w:r>
      <w:r>
        <w:rPr>
          <w:rFonts w:hint="eastAsia" w:ascii="黑体" w:hAnsi="黑体" w:eastAsia="黑体" w:cs="黑体"/>
          <w:color w:val="auto"/>
          <w:sz w:val="24"/>
          <w:szCs w:val="24"/>
          <w:lang w:eastAsia="zh-CN"/>
        </w:rPr>
        <w:t>文件</w:t>
      </w:r>
      <w:r>
        <w:rPr>
          <w:rFonts w:hint="eastAsia" w:ascii="黑体" w:hAnsi="黑体" w:eastAsia="黑体" w:cs="黑体"/>
          <w:color w:val="auto"/>
          <w:sz w:val="24"/>
          <w:szCs w:val="24"/>
        </w:rPr>
        <w:t>提供期限：</w:t>
      </w:r>
      <w:r>
        <w:rPr>
          <w:rFonts w:hint="eastAsia" w:ascii="黑体" w:hAnsi="黑体" w:eastAsia="黑体" w:cs="黑体"/>
          <w:color w:val="auto"/>
          <w:sz w:val="24"/>
          <w:szCs w:val="24"/>
          <w:lang w:val="en-US" w:eastAsia="zh-CN"/>
        </w:rPr>
        <w:t>2026</w:t>
      </w:r>
      <w:r>
        <w:rPr>
          <w:rFonts w:hint="eastAsia" w:ascii="黑体" w:hAnsi="黑体" w:eastAsia="黑体" w:cs="黑体"/>
          <w:color w:val="auto"/>
          <w:sz w:val="24"/>
          <w:szCs w:val="24"/>
        </w:rPr>
        <w:t>年</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月</w:t>
      </w:r>
      <w:r>
        <w:rPr>
          <w:rFonts w:hint="eastAsia" w:ascii="黑体" w:hAnsi="黑体" w:eastAsia="黑体" w:cs="黑体"/>
          <w:color w:val="auto"/>
          <w:sz w:val="24"/>
          <w:szCs w:val="24"/>
          <w:lang w:val="en-US" w:eastAsia="zh-CN"/>
        </w:rPr>
        <w:t>6</w:t>
      </w:r>
      <w:r>
        <w:rPr>
          <w:rFonts w:hint="eastAsia" w:ascii="黑体" w:hAnsi="黑体" w:eastAsia="黑体" w:cs="黑体"/>
          <w:color w:val="auto"/>
          <w:sz w:val="24"/>
          <w:szCs w:val="24"/>
        </w:rPr>
        <w:t>日至</w:t>
      </w:r>
      <w:r>
        <w:rPr>
          <w:rFonts w:hint="eastAsia" w:ascii="黑体" w:hAnsi="黑体" w:eastAsia="黑体" w:cs="黑体"/>
          <w:color w:val="auto"/>
          <w:sz w:val="24"/>
          <w:szCs w:val="24"/>
          <w:lang w:val="en-US" w:eastAsia="zh-CN"/>
        </w:rPr>
        <w:t>2026</w:t>
      </w:r>
      <w:r>
        <w:rPr>
          <w:rFonts w:hint="eastAsia" w:ascii="黑体" w:hAnsi="黑体" w:eastAsia="黑体" w:cs="黑体"/>
          <w:color w:val="auto"/>
          <w:sz w:val="24"/>
          <w:szCs w:val="24"/>
        </w:rPr>
        <w:t>年</w:t>
      </w:r>
      <w:r>
        <w:rPr>
          <w:rFonts w:hint="eastAsia" w:ascii="黑体" w:hAnsi="黑体" w:eastAsia="黑体" w:cs="黑体"/>
          <w:color w:val="auto"/>
          <w:sz w:val="24"/>
          <w:szCs w:val="24"/>
          <w:lang w:val="en-US" w:eastAsia="zh-CN"/>
        </w:rPr>
        <w:t>5</w:t>
      </w:r>
      <w:r>
        <w:rPr>
          <w:rFonts w:hint="eastAsia" w:ascii="黑体" w:hAnsi="黑体" w:eastAsia="黑体" w:cs="黑体"/>
          <w:color w:val="auto"/>
          <w:sz w:val="24"/>
          <w:szCs w:val="24"/>
        </w:rPr>
        <w:t>月</w:t>
      </w:r>
      <w:r>
        <w:rPr>
          <w:rFonts w:hint="eastAsia" w:ascii="黑体" w:hAnsi="黑体" w:eastAsia="黑体" w:cs="黑体"/>
          <w:color w:val="auto"/>
          <w:sz w:val="24"/>
          <w:szCs w:val="24"/>
          <w:lang w:val="en-US" w:eastAsia="zh-CN"/>
        </w:rPr>
        <w:t>8</w:t>
      </w:r>
      <w:r>
        <w:rPr>
          <w:rFonts w:hint="eastAsia" w:ascii="黑体" w:hAnsi="黑体" w:eastAsia="黑体" w:cs="黑体"/>
          <w:color w:val="auto"/>
          <w:sz w:val="24"/>
          <w:szCs w:val="24"/>
        </w:rPr>
        <w:t>日</w:t>
      </w:r>
      <w:r>
        <w:rPr>
          <w:rFonts w:hint="eastAsia" w:ascii="黑体" w:hAnsi="黑体" w:eastAsia="黑体" w:cs="黑体"/>
          <w:color w:val="auto"/>
          <w:sz w:val="24"/>
          <w:szCs w:val="24"/>
          <w:lang w:val="en-US" w:eastAsia="zh-CN"/>
        </w:rPr>
        <w:t>17：00前</w:t>
      </w:r>
    </w:p>
    <w:p w14:paraId="1706F7FF">
      <w:pPr>
        <w:pageBreakBefore w:val="0"/>
        <w:widowControl w:val="0"/>
        <w:kinsoku/>
        <w:wordWrap/>
        <w:overflowPunct/>
        <w:topLinePunct w:val="0"/>
        <w:autoSpaceDE/>
        <w:autoSpaceDN/>
        <w:bidi w:val="0"/>
        <w:adjustRightInd/>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文件</w:t>
      </w:r>
      <w:r>
        <w:rPr>
          <w:rFonts w:hint="eastAsia" w:ascii="黑体" w:hAnsi="黑体" w:eastAsia="黑体" w:cs="黑体"/>
          <w:sz w:val="24"/>
          <w:szCs w:val="24"/>
        </w:rPr>
        <w:t>售价：人民币</w:t>
      </w:r>
      <w:r>
        <w:rPr>
          <w:rFonts w:hint="eastAsia" w:ascii="黑体" w:hAnsi="黑体" w:eastAsia="黑体" w:cs="黑体"/>
          <w:sz w:val="24"/>
          <w:szCs w:val="24"/>
          <w:lang w:val="en-US" w:eastAsia="zh-CN"/>
        </w:rPr>
        <w:t>300</w:t>
      </w:r>
      <w:r>
        <w:rPr>
          <w:rFonts w:hint="eastAsia" w:ascii="黑体" w:hAnsi="黑体" w:eastAsia="黑体" w:cs="黑体"/>
          <w:sz w:val="24"/>
          <w:szCs w:val="24"/>
        </w:rPr>
        <w:t>元/包，售后不退。</w:t>
      </w:r>
    </w:p>
    <w:p w14:paraId="1B025DF9">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3.报名方式：在</w:t>
      </w:r>
      <w:r>
        <w:rPr>
          <w:rFonts w:hint="eastAsia" w:ascii="黑体" w:hAnsi="黑体" w:eastAsia="黑体" w:cs="黑体"/>
          <w:sz w:val="24"/>
          <w:szCs w:val="24"/>
          <w:lang w:eastAsia="zh-CN"/>
        </w:rPr>
        <w:t>询比文件提供期限</w:t>
      </w:r>
      <w:r>
        <w:rPr>
          <w:rFonts w:hint="eastAsia" w:ascii="黑体" w:hAnsi="黑体" w:eastAsia="黑体" w:cs="黑体"/>
          <w:sz w:val="24"/>
          <w:szCs w:val="24"/>
        </w:rPr>
        <w:t>内，供应商将</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文件</w:t>
      </w:r>
      <w:r>
        <w:rPr>
          <w:rFonts w:hint="eastAsia" w:ascii="黑体" w:hAnsi="黑体" w:eastAsia="黑体" w:cs="黑体"/>
          <w:sz w:val="24"/>
          <w:szCs w:val="24"/>
          <w:lang w:val="en-US" w:eastAsia="zh-CN"/>
        </w:rPr>
        <w:t>成本费</w:t>
      </w:r>
      <w:r>
        <w:rPr>
          <w:rFonts w:hint="eastAsia" w:ascii="黑体" w:hAnsi="黑体" w:eastAsia="黑体" w:cs="黑体"/>
          <w:sz w:val="24"/>
          <w:szCs w:val="24"/>
        </w:rPr>
        <w:t>汇至以下账户，并将汇款凭证</w:t>
      </w:r>
      <w:r>
        <w:rPr>
          <w:rFonts w:hint="eastAsia" w:ascii="黑体" w:hAnsi="黑体" w:eastAsia="黑体" w:cs="黑体"/>
          <w:sz w:val="24"/>
          <w:szCs w:val="24"/>
          <w:lang w:eastAsia="zh-CN"/>
        </w:rPr>
        <w:t>、《报名</w:t>
      </w:r>
      <w:r>
        <w:rPr>
          <w:rFonts w:hint="eastAsia" w:ascii="黑体" w:hAnsi="黑体" w:eastAsia="黑体" w:cs="黑体"/>
          <w:sz w:val="24"/>
          <w:szCs w:val="24"/>
        </w:rPr>
        <w:t>表》（加盖供应商公章）扫描后发送至邮箱：</w:t>
      </w:r>
      <w:r>
        <w:rPr>
          <w:rFonts w:hint="eastAsia" w:ascii="黑体" w:hAnsi="黑体" w:eastAsia="黑体" w:cs="黑体"/>
          <w:color w:val="auto"/>
          <w:sz w:val="24"/>
          <w:szCs w:val="24"/>
          <w:highlight w:val="none"/>
          <w:lang w:val="en-US" w:eastAsia="zh-CN" w:bidi="ar"/>
        </w:rPr>
        <w:t>947936315</w:t>
      </w:r>
      <w:r>
        <w:rPr>
          <w:rFonts w:hint="eastAsia" w:ascii="黑体" w:hAnsi="黑体" w:eastAsia="黑体" w:cs="黑体"/>
          <w:color w:val="auto"/>
          <w:sz w:val="24"/>
          <w:szCs w:val="24"/>
          <w:highlight w:val="none"/>
          <w:lang w:bidi="ar"/>
        </w:rPr>
        <w:t>@qq.com</w:t>
      </w:r>
      <w:r>
        <w:rPr>
          <w:rFonts w:hint="eastAsia" w:ascii="黑体" w:hAnsi="黑体" w:eastAsia="黑体" w:cs="黑体"/>
          <w:sz w:val="24"/>
          <w:szCs w:val="24"/>
        </w:rPr>
        <w:t>。</w:t>
      </w:r>
    </w:p>
    <w:p w14:paraId="64FDA38A">
      <w:pPr>
        <w:pageBreakBefore w:val="0"/>
        <w:widowControl w:val="0"/>
        <w:kinsoku/>
        <w:wordWrap/>
        <w:overflowPunct/>
        <w:topLinePunct w:val="0"/>
        <w:autoSpaceDE/>
        <w:autoSpaceDN/>
        <w:bidi w:val="0"/>
        <w:adjustRightInd/>
        <w:snapToGrid w:val="0"/>
        <w:spacing w:line="43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户  名：重庆渝开洋工程管理咨询有限公司</w:t>
      </w:r>
    </w:p>
    <w:p w14:paraId="1D2239DF">
      <w:pPr>
        <w:pageBreakBefore w:val="0"/>
        <w:widowControl w:val="0"/>
        <w:kinsoku/>
        <w:wordWrap/>
        <w:overflowPunct/>
        <w:topLinePunct w:val="0"/>
        <w:autoSpaceDE/>
        <w:autoSpaceDN/>
        <w:bidi w:val="0"/>
        <w:adjustRightInd/>
        <w:snapToGrid w:val="0"/>
        <w:spacing w:line="43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开户行：交通银行股份有限公司重庆渝州新城支行</w:t>
      </w:r>
    </w:p>
    <w:p w14:paraId="5AF6BE71">
      <w:pPr>
        <w:pageBreakBefore w:val="0"/>
        <w:widowControl w:val="0"/>
        <w:kinsoku/>
        <w:wordWrap/>
        <w:overflowPunct/>
        <w:topLinePunct w:val="0"/>
        <w:autoSpaceDE/>
        <w:autoSpaceDN/>
        <w:bidi w:val="0"/>
        <w:adjustRightInd/>
        <w:snapToGrid w:val="0"/>
        <w:spacing w:line="43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 xml:space="preserve">账  号：500500212013000739418 </w:t>
      </w:r>
    </w:p>
    <w:p w14:paraId="0D948B06">
      <w:pPr>
        <w:pageBreakBefore w:val="0"/>
        <w:widowControl w:val="0"/>
        <w:kinsoku/>
        <w:wordWrap/>
        <w:overflowPunct/>
        <w:topLinePunct w:val="0"/>
        <w:autoSpaceDE/>
        <w:autoSpaceDN/>
        <w:bidi w:val="0"/>
        <w:adjustRightInd/>
        <w:snapToGrid w:val="0"/>
        <w:spacing w:line="430" w:lineRule="exact"/>
        <w:ind w:firstLine="720" w:firstLineChars="300"/>
        <w:jc w:val="lef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五）报价</w:t>
      </w:r>
    </w:p>
    <w:p w14:paraId="0D07A693">
      <w:pPr>
        <w:pageBreakBefore w:val="0"/>
        <w:widowControl w:val="0"/>
        <w:kinsoku/>
        <w:wordWrap/>
        <w:overflowPunct/>
        <w:topLinePunct w:val="0"/>
        <w:autoSpaceDE/>
        <w:autoSpaceDN/>
        <w:bidi w:val="0"/>
        <w:adjustRightInd/>
        <w:spacing w:line="430" w:lineRule="exact"/>
        <w:ind w:firstLine="720" w:firstLineChars="3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1.报价时间：按本项目网上公告规定的报价截止时间为准。</w:t>
      </w:r>
    </w:p>
    <w:p w14:paraId="73E127C5">
      <w:pPr>
        <w:pageBreakBefore w:val="0"/>
        <w:widowControl w:val="0"/>
        <w:kinsoku/>
        <w:wordWrap/>
        <w:overflowPunct/>
        <w:topLinePunct w:val="0"/>
        <w:autoSpaceDE/>
        <w:autoSpaceDN/>
        <w:bidi w:val="0"/>
        <w:adjustRightInd/>
        <w:snapToGrid w:val="0"/>
        <w:spacing w:line="430" w:lineRule="exact"/>
        <w:ind w:firstLine="720" w:firstLineChars="300"/>
        <w:textAlignment w:val="auto"/>
        <w:rPr>
          <w:rFonts w:hint="eastAsia" w:ascii="黑体" w:hAnsi="黑体" w:eastAsia="黑体" w:cs="黑体"/>
          <w:color w:val="C00000"/>
          <w:sz w:val="24"/>
          <w:szCs w:val="24"/>
          <w:highlight w:val="none"/>
          <w:lang w:val="en-US" w:eastAsia="zh-CN"/>
        </w:rPr>
      </w:pPr>
      <w:r>
        <w:rPr>
          <w:rFonts w:hint="eastAsia" w:ascii="黑体" w:hAnsi="黑体" w:eastAsia="黑体" w:cs="黑体"/>
          <w:color w:val="auto"/>
          <w:sz w:val="24"/>
          <w:szCs w:val="24"/>
          <w:highlight w:val="none"/>
        </w:rPr>
        <w:t>2.报价要求：</w:t>
      </w:r>
      <w:r>
        <w:rPr>
          <w:rFonts w:hint="eastAsia" w:ascii="黑体" w:hAnsi="黑体" w:eastAsia="黑体" w:cs="黑体"/>
          <w:color w:val="auto"/>
          <w:kern w:val="0"/>
          <w:sz w:val="24"/>
          <w:szCs w:val="24"/>
          <w:highlight w:val="none"/>
          <w:lang w:eastAsia="zh-CN"/>
        </w:rPr>
        <w:t>供应商请自行下载</w:t>
      </w:r>
      <w:r>
        <w:rPr>
          <w:rFonts w:hint="eastAsia" w:ascii="黑体" w:hAnsi="黑体" w:eastAsia="黑体" w:cs="黑体"/>
          <w:color w:val="auto"/>
          <w:kern w:val="0"/>
          <w:sz w:val="24"/>
          <w:szCs w:val="24"/>
          <w:highlight w:val="none"/>
          <w:lang w:val="en-US" w:eastAsia="zh-CN"/>
        </w:rPr>
        <w:t>询比</w:t>
      </w:r>
      <w:r>
        <w:rPr>
          <w:rFonts w:hint="eastAsia" w:ascii="黑体" w:hAnsi="黑体" w:eastAsia="黑体" w:cs="黑体"/>
          <w:color w:val="auto"/>
          <w:kern w:val="0"/>
          <w:sz w:val="24"/>
          <w:szCs w:val="24"/>
          <w:highlight w:val="none"/>
          <w:lang w:eastAsia="zh-CN"/>
        </w:rPr>
        <w:t>文件并按要求编制响应文件，在本项目规定的截止时间前，将签字盖章完毕的响应文件电子档一份上传至（电子邮箱：</w:t>
      </w:r>
      <w:r>
        <w:rPr>
          <w:rFonts w:hint="eastAsia" w:ascii="黑体" w:hAnsi="黑体" w:eastAsia="黑体" w:cs="黑体"/>
          <w:color w:val="auto"/>
          <w:kern w:val="0"/>
          <w:sz w:val="24"/>
          <w:szCs w:val="24"/>
          <w:highlight w:val="none"/>
          <w:lang w:val="en-US" w:eastAsia="zh-CN"/>
        </w:rPr>
        <w:t>947936315</w:t>
      </w:r>
      <w:r>
        <w:rPr>
          <w:rFonts w:hint="eastAsia" w:ascii="黑体" w:hAnsi="黑体" w:eastAsia="黑体" w:cs="黑体"/>
          <w:color w:val="auto"/>
          <w:kern w:val="0"/>
          <w:sz w:val="24"/>
          <w:szCs w:val="24"/>
          <w:highlight w:val="none"/>
          <w:lang w:eastAsia="zh-CN"/>
        </w:rPr>
        <w:t>@qq.com）完成报价。</w:t>
      </w:r>
      <w:r>
        <w:rPr>
          <w:rFonts w:hint="eastAsia" w:ascii="黑体" w:hAnsi="黑体" w:eastAsia="黑体" w:cs="黑体"/>
          <w:color w:val="auto"/>
          <w:sz w:val="24"/>
          <w:szCs w:val="24"/>
          <w:highlight w:val="none"/>
        </w:rPr>
        <w:t>未在规定时间内报价和上传电子响应文件的供应商</w:t>
      </w:r>
      <w:r>
        <w:rPr>
          <w:rFonts w:hint="eastAsia" w:ascii="黑体" w:hAnsi="黑体" w:eastAsia="黑体" w:cs="黑体"/>
          <w:color w:val="auto"/>
          <w:kern w:val="0"/>
          <w:sz w:val="24"/>
          <w:szCs w:val="24"/>
          <w:highlight w:val="none"/>
          <w:lang w:eastAsia="zh-CN"/>
        </w:rPr>
        <w:t>将失去成为成交供应商的资格。</w:t>
      </w:r>
    </w:p>
    <w:p w14:paraId="2131FD2E">
      <w:pPr>
        <w:pageBreakBefore w:val="0"/>
        <w:widowControl w:val="0"/>
        <w:kinsoku/>
        <w:wordWrap/>
        <w:overflowPunct/>
        <w:topLinePunct w:val="0"/>
        <w:autoSpaceDE/>
        <w:autoSpaceDN/>
        <w:bidi w:val="0"/>
        <w:adjustRightInd/>
        <w:snapToGrid w:val="0"/>
        <w:spacing w:line="430" w:lineRule="exact"/>
        <w:ind w:firstLine="480" w:firstLineChars="200"/>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（六）投标响应</w:t>
      </w:r>
    </w:p>
    <w:p w14:paraId="01FDEDEC">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rPr>
        <w:t>递交响应文件地点：</w:t>
      </w:r>
      <w:r>
        <w:rPr>
          <w:rFonts w:hint="eastAsia" w:ascii="黑体" w:hAnsi="黑体" w:eastAsia="黑体" w:cs="黑体"/>
          <w:sz w:val="24"/>
          <w:szCs w:val="24"/>
        </w:rPr>
        <w:t>重庆</w:t>
      </w:r>
      <w:r>
        <w:rPr>
          <w:rFonts w:hint="eastAsia" w:ascii="黑体" w:hAnsi="黑体" w:eastAsia="黑体" w:cs="黑体"/>
          <w:sz w:val="24"/>
          <w:szCs w:val="24"/>
          <w:lang w:eastAsia="zh-CN"/>
        </w:rPr>
        <w:t>渝开洋工程管理咨询有限公司</w:t>
      </w:r>
      <w:r>
        <w:rPr>
          <w:rFonts w:hint="eastAsia" w:ascii="黑体" w:hAnsi="黑体" w:eastAsia="黑体" w:cs="黑体"/>
          <w:sz w:val="24"/>
          <w:szCs w:val="24"/>
        </w:rPr>
        <w:t>（地址：重庆市南岸区恒大同景国际城星时代</w:t>
      </w:r>
      <w:r>
        <w:rPr>
          <w:rFonts w:hint="eastAsia" w:ascii="黑体" w:hAnsi="黑体" w:eastAsia="黑体" w:cs="黑体"/>
          <w:sz w:val="24"/>
          <w:szCs w:val="24"/>
          <w:lang w:eastAsia="zh-CN"/>
        </w:rPr>
        <w:t>）</w:t>
      </w:r>
    </w:p>
    <w:p w14:paraId="2E236BAF">
      <w:pPr>
        <w:pageBreakBefore w:val="0"/>
        <w:widowControl w:val="0"/>
        <w:kinsoku/>
        <w:wordWrap/>
        <w:overflowPunct/>
        <w:topLinePunct w:val="0"/>
        <w:autoSpaceDE/>
        <w:autoSpaceDN/>
        <w:bidi w:val="0"/>
        <w:adjustRightInd/>
        <w:spacing w:line="430" w:lineRule="exact"/>
        <w:ind w:firstLine="480" w:firstLineChars="200"/>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提交响应文件</w:t>
      </w:r>
      <w:r>
        <w:rPr>
          <w:rFonts w:hint="eastAsia" w:ascii="黑体" w:hAnsi="黑体" w:eastAsia="黑体" w:cs="黑体"/>
          <w:color w:val="auto"/>
          <w:sz w:val="24"/>
          <w:szCs w:val="24"/>
          <w:lang w:eastAsia="zh-CN"/>
        </w:rPr>
        <w:t>开始</w:t>
      </w:r>
      <w:r>
        <w:rPr>
          <w:rFonts w:hint="eastAsia" w:ascii="黑体" w:hAnsi="黑体" w:eastAsia="黑体" w:cs="黑体"/>
          <w:color w:val="auto"/>
          <w:sz w:val="24"/>
          <w:szCs w:val="24"/>
        </w:rPr>
        <w:t>时间：</w:t>
      </w:r>
      <w:r>
        <w:rPr>
          <w:rFonts w:hint="eastAsia" w:ascii="黑体" w:hAnsi="黑体" w:eastAsia="黑体" w:cs="黑体"/>
          <w:color w:val="auto"/>
          <w:sz w:val="24"/>
          <w:szCs w:val="24"/>
          <w:highlight w:val="none"/>
        </w:rPr>
        <w:t>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9</w:t>
      </w:r>
      <w:r>
        <w:rPr>
          <w:rFonts w:hint="eastAsia" w:ascii="黑体" w:hAnsi="黑体" w:eastAsia="黑体" w:cs="黑体"/>
          <w:color w:val="auto"/>
          <w:sz w:val="24"/>
          <w:szCs w:val="24"/>
          <w:highlight w:val="none"/>
        </w:rPr>
        <w:t>日北京时间</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00</w:t>
      </w:r>
    </w:p>
    <w:p w14:paraId="77DBD206">
      <w:pPr>
        <w:pageBreakBefore w:val="0"/>
        <w:widowControl w:val="0"/>
        <w:kinsoku/>
        <w:wordWrap/>
        <w:overflowPunct/>
        <w:topLinePunct w:val="0"/>
        <w:autoSpaceDE/>
        <w:autoSpaceDN/>
        <w:bidi w:val="0"/>
        <w:adjustRightInd/>
        <w:spacing w:line="43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提交响应文件</w:t>
      </w:r>
      <w:r>
        <w:rPr>
          <w:rFonts w:hint="eastAsia" w:ascii="黑体" w:hAnsi="黑体" w:eastAsia="黑体" w:cs="黑体"/>
          <w:color w:val="auto"/>
          <w:sz w:val="24"/>
          <w:szCs w:val="24"/>
          <w:highlight w:val="none"/>
          <w:lang w:eastAsia="zh-CN"/>
        </w:rPr>
        <w:t>截止</w:t>
      </w:r>
      <w:r>
        <w:rPr>
          <w:rFonts w:hint="eastAsia" w:ascii="黑体" w:hAnsi="黑体" w:eastAsia="黑体" w:cs="黑体"/>
          <w:color w:val="auto"/>
          <w:sz w:val="24"/>
          <w:szCs w:val="24"/>
          <w:highlight w:val="none"/>
        </w:rPr>
        <w:t>时间</w:t>
      </w:r>
      <w:r>
        <w:rPr>
          <w:rFonts w:hint="eastAsia" w:ascii="黑体" w:hAnsi="黑体" w:eastAsia="黑体" w:cs="黑体"/>
          <w:color w:val="auto"/>
          <w:sz w:val="24"/>
          <w:szCs w:val="24"/>
          <w:highlight w:val="none"/>
          <w:lang w:val="en-US" w:eastAsia="zh-CN"/>
        </w:rPr>
        <w:t>和开标时间</w:t>
      </w:r>
      <w:r>
        <w:rPr>
          <w:rFonts w:hint="eastAsia" w:ascii="黑体" w:hAnsi="黑体" w:eastAsia="黑体" w:cs="黑体"/>
          <w:color w:val="auto"/>
          <w:sz w:val="24"/>
          <w:szCs w:val="24"/>
          <w:highlight w:val="none"/>
        </w:rPr>
        <w:t>：202</w:t>
      </w:r>
      <w:r>
        <w:rPr>
          <w:rFonts w:hint="eastAsia" w:ascii="黑体" w:hAnsi="黑体" w:eastAsia="黑体" w:cs="黑体"/>
          <w:color w:val="auto"/>
          <w:sz w:val="24"/>
          <w:szCs w:val="24"/>
          <w:highlight w:val="none"/>
          <w:lang w:val="en-US" w:eastAsia="zh-CN"/>
        </w:rPr>
        <w:t>6</w:t>
      </w:r>
      <w:r>
        <w:rPr>
          <w:rFonts w:hint="eastAsia" w:ascii="黑体" w:hAnsi="黑体" w:eastAsia="黑体" w:cs="黑体"/>
          <w:color w:val="auto"/>
          <w:sz w:val="24"/>
          <w:szCs w:val="24"/>
          <w:highlight w:val="none"/>
        </w:rPr>
        <w:t>年</w:t>
      </w:r>
      <w:r>
        <w:rPr>
          <w:rFonts w:hint="eastAsia" w:ascii="黑体" w:hAnsi="黑体" w:eastAsia="黑体" w:cs="黑体"/>
          <w:color w:val="auto"/>
          <w:sz w:val="24"/>
          <w:szCs w:val="24"/>
          <w:highlight w:val="none"/>
          <w:lang w:val="en-US" w:eastAsia="zh-CN"/>
        </w:rPr>
        <w:t>5</w:t>
      </w:r>
      <w:r>
        <w:rPr>
          <w:rFonts w:hint="eastAsia" w:ascii="黑体" w:hAnsi="黑体" w:eastAsia="黑体" w:cs="黑体"/>
          <w:color w:val="auto"/>
          <w:sz w:val="24"/>
          <w:szCs w:val="24"/>
          <w:highlight w:val="none"/>
        </w:rPr>
        <w:t>月</w:t>
      </w:r>
      <w:r>
        <w:rPr>
          <w:rFonts w:hint="eastAsia" w:ascii="黑体" w:hAnsi="黑体" w:eastAsia="黑体" w:cs="黑体"/>
          <w:color w:val="auto"/>
          <w:sz w:val="24"/>
          <w:szCs w:val="24"/>
          <w:highlight w:val="none"/>
          <w:lang w:val="en-US" w:eastAsia="zh-CN"/>
        </w:rPr>
        <w:t>9</w:t>
      </w:r>
      <w:r>
        <w:rPr>
          <w:rFonts w:hint="eastAsia" w:ascii="黑体" w:hAnsi="黑体" w:eastAsia="黑体" w:cs="黑体"/>
          <w:color w:val="auto"/>
          <w:sz w:val="24"/>
          <w:szCs w:val="24"/>
          <w:highlight w:val="none"/>
        </w:rPr>
        <w:t>日北京时间</w:t>
      </w:r>
      <w:r>
        <w:rPr>
          <w:rFonts w:hint="eastAsia" w:ascii="黑体" w:hAnsi="黑体" w:eastAsia="黑体" w:cs="黑体"/>
          <w:color w:val="auto"/>
          <w:sz w:val="24"/>
          <w:szCs w:val="24"/>
          <w:highlight w:val="none"/>
          <w:lang w:val="en-US" w:eastAsia="zh-CN"/>
        </w:rPr>
        <w:t>14</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30</w:t>
      </w:r>
    </w:p>
    <w:p w14:paraId="63ABC381">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bCs/>
          <w:color w:val="auto"/>
          <w:sz w:val="24"/>
          <w:szCs w:val="24"/>
          <w:highlight w:val="none"/>
          <w:lang w:val="en-US" w:eastAsia="zh-CN"/>
        </w:rPr>
      </w:pPr>
      <w:r>
        <w:rPr>
          <w:rFonts w:hint="eastAsia" w:ascii="黑体" w:hAnsi="黑体" w:eastAsia="黑体" w:cs="黑体"/>
          <w:bCs/>
          <w:color w:val="auto"/>
          <w:sz w:val="24"/>
          <w:szCs w:val="24"/>
          <w:highlight w:val="none"/>
          <w:lang w:val="en-US" w:eastAsia="zh-CN"/>
        </w:rPr>
        <w:t>逾期送达的、未送达指定地点的或者不按照采购文件要求密封的响应文件，采购人或采购代理机构将予以拒收。</w:t>
      </w:r>
    </w:p>
    <w:bookmarkEnd w:id="15"/>
    <w:bookmarkEnd w:id="21"/>
    <w:p w14:paraId="440063A3">
      <w:pPr>
        <w:pageBreakBefore w:val="0"/>
        <w:widowControl w:val="0"/>
        <w:kinsoku/>
        <w:wordWrap/>
        <w:overflowPunct/>
        <w:topLinePunct w:val="0"/>
        <w:autoSpaceDE/>
        <w:autoSpaceDN/>
        <w:bidi w:val="0"/>
        <w:adjustRightInd/>
        <w:snapToGrid w:val="0"/>
        <w:spacing w:line="430" w:lineRule="exact"/>
        <w:ind w:firstLine="482" w:firstLineChars="200"/>
        <w:jc w:val="left"/>
        <w:textAlignment w:val="auto"/>
        <w:rPr>
          <w:rFonts w:hint="eastAsia" w:ascii="黑体" w:hAnsi="黑体" w:eastAsia="黑体" w:cs="黑体"/>
          <w:b/>
          <w:bCs/>
          <w:sz w:val="24"/>
          <w:szCs w:val="24"/>
        </w:rPr>
      </w:pPr>
      <w:bookmarkStart w:id="22" w:name="_Toc65660335"/>
      <w:bookmarkStart w:id="23" w:name="_Toc521053054"/>
      <w:bookmarkStart w:id="24" w:name="_Toc2945"/>
      <w:bookmarkStart w:id="25" w:name="_Toc525047162"/>
      <w:bookmarkStart w:id="26" w:name="_Toc12296"/>
      <w:bookmarkStart w:id="27" w:name="_Toc4355"/>
      <w:bookmarkStart w:id="28" w:name="_Toc106034775"/>
      <w:bookmarkStart w:id="29" w:name="_Toc21052"/>
      <w:bookmarkStart w:id="30" w:name="_Toc519081888"/>
      <w:r>
        <w:rPr>
          <w:rFonts w:hint="eastAsia" w:ascii="黑体" w:hAnsi="黑体" w:eastAsia="黑体" w:cs="黑体"/>
          <w:b/>
          <w:bCs/>
          <w:sz w:val="24"/>
          <w:szCs w:val="24"/>
          <w:lang w:eastAsia="zh-CN"/>
        </w:rPr>
        <w:t>五</w:t>
      </w:r>
      <w:r>
        <w:rPr>
          <w:rFonts w:hint="eastAsia" w:ascii="黑体" w:hAnsi="黑体" w:eastAsia="黑体" w:cs="黑体"/>
          <w:b/>
          <w:bCs/>
          <w:sz w:val="24"/>
          <w:szCs w:val="24"/>
        </w:rPr>
        <w:t>、采购项目需落实的政府采购政策</w:t>
      </w:r>
      <w:bookmarkEnd w:id="22"/>
      <w:bookmarkEnd w:id="23"/>
      <w:bookmarkEnd w:id="24"/>
      <w:bookmarkEnd w:id="25"/>
      <w:bookmarkEnd w:id="26"/>
      <w:bookmarkEnd w:id="27"/>
      <w:bookmarkEnd w:id="28"/>
    </w:p>
    <w:p w14:paraId="1EAC4BBB">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D0D147B">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（二）按照财政部、工业和信息化部关于印发《政府采购促进中小企业发展管理办法》的通知（财库〔2020〕46号），落实促进中小企业发展政策。</w:t>
      </w:r>
    </w:p>
    <w:p w14:paraId="03553979">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（三）按照《财政部、司法部关于政府采购支持监狱企业发展有关问题的通知》（财库〔2014〕68号）的规定，落实支持监狱企业发展政策。</w:t>
      </w:r>
    </w:p>
    <w:p w14:paraId="012C871D">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（四）按照《三部门联合发布关于促进残疾人就业政府采购政策的通知》（财库〔2017〕 141号）的规定，落实支持残疾人福利性单位发展政策。</w:t>
      </w:r>
      <w:bookmarkEnd w:id="29"/>
      <w:bookmarkEnd w:id="30"/>
      <w:bookmarkStart w:id="31" w:name="_Toc525047163"/>
      <w:bookmarkStart w:id="32" w:name="_Toc4728"/>
      <w:bookmarkStart w:id="33" w:name="_Toc65660336"/>
      <w:bookmarkStart w:id="34" w:name="_Toc6563"/>
      <w:bookmarkStart w:id="35" w:name="_Toc521053055"/>
      <w:bookmarkStart w:id="36" w:name="_Toc16269"/>
      <w:bookmarkStart w:id="37" w:name="_Toc106034776"/>
    </w:p>
    <w:p w14:paraId="7AA36C98">
      <w:pPr>
        <w:pageBreakBefore w:val="0"/>
        <w:widowControl w:val="0"/>
        <w:kinsoku/>
        <w:wordWrap/>
        <w:overflowPunct/>
        <w:topLinePunct w:val="0"/>
        <w:autoSpaceDE/>
        <w:autoSpaceDN/>
        <w:bidi w:val="0"/>
        <w:adjustRightInd/>
        <w:snapToGrid w:val="0"/>
        <w:spacing w:line="430" w:lineRule="exact"/>
        <w:ind w:firstLine="480" w:firstLineChars="200"/>
        <w:jc w:val="left"/>
        <w:textAlignment w:val="auto"/>
        <w:rPr>
          <w:rFonts w:hint="eastAsia" w:ascii="黑体" w:hAnsi="黑体" w:eastAsia="黑体" w:cs="黑体"/>
          <w:b w:val="0"/>
          <w:bCs/>
          <w:sz w:val="24"/>
          <w:szCs w:val="24"/>
          <w:lang w:eastAsia="zh-CN"/>
        </w:rPr>
      </w:pPr>
      <w:r>
        <w:rPr>
          <w:rFonts w:hint="eastAsia" w:ascii="黑体" w:hAnsi="黑体" w:eastAsia="黑体" w:cs="黑体"/>
          <w:b w:val="0"/>
          <w:bCs/>
          <w:sz w:val="24"/>
          <w:szCs w:val="24"/>
        </w:rPr>
        <w:t>（五）按照《国务院办公厅关于在政府采购中实施本国产品标准及相关政策的通知》（国办发〔2025〕34号）的规定，落实《财政部 工业和信息化部关于贯彻落实〈国务院办公厅关于在政府采购中实施本国产品标准及相关政策的通知〉的意见》（财库〔2025〕30号）</w:t>
      </w:r>
      <w:r>
        <w:rPr>
          <w:rFonts w:hint="eastAsia" w:ascii="黑体" w:hAnsi="黑体" w:eastAsia="黑体" w:cs="黑体"/>
          <w:b w:val="0"/>
          <w:bCs/>
          <w:sz w:val="24"/>
          <w:szCs w:val="24"/>
          <w:lang w:eastAsia="zh-CN"/>
        </w:rPr>
        <w:t>。</w:t>
      </w:r>
    </w:p>
    <w:p w14:paraId="06D2BF72">
      <w:pPr>
        <w:pStyle w:val="3"/>
        <w:pageBreakBefore w:val="0"/>
        <w:widowControl w:val="0"/>
        <w:kinsoku/>
        <w:wordWrap/>
        <w:overflowPunct/>
        <w:topLinePunct w:val="0"/>
        <w:autoSpaceDE/>
        <w:autoSpaceDN/>
        <w:bidi w:val="0"/>
        <w:adjustRightInd w:val="0"/>
        <w:snapToGrid w:val="0"/>
        <w:spacing w:before="0" w:after="0" w:line="430" w:lineRule="exact"/>
        <w:ind w:firstLine="482"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六</w:t>
      </w:r>
      <w:r>
        <w:rPr>
          <w:rFonts w:hint="eastAsia" w:ascii="黑体" w:hAnsi="黑体" w:eastAsia="黑体" w:cs="黑体"/>
          <w:sz w:val="24"/>
          <w:szCs w:val="24"/>
        </w:rPr>
        <w:t>、其它有关规定</w:t>
      </w:r>
      <w:bookmarkEnd w:id="31"/>
      <w:bookmarkEnd w:id="32"/>
      <w:bookmarkEnd w:id="33"/>
      <w:bookmarkEnd w:id="34"/>
      <w:bookmarkEnd w:id="35"/>
      <w:bookmarkEnd w:id="36"/>
      <w:bookmarkEnd w:id="37"/>
    </w:p>
    <w:p w14:paraId="2371709A">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sz w:val="24"/>
          <w:szCs w:val="24"/>
        </w:rPr>
      </w:pPr>
      <w:r>
        <w:rPr>
          <w:rFonts w:hint="eastAsia" w:ascii="黑体" w:hAnsi="黑体" w:eastAsia="黑体" w:cs="黑体"/>
          <w:sz w:val="24"/>
          <w:szCs w:val="24"/>
        </w:rPr>
        <w:t>（一）单位负责人为同一人或者存在直接控股、管理关系的不同供应商，不得参加同一合同项（包）下的政府采购活动，否则均为无效报价。</w:t>
      </w:r>
    </w:p>
    <w:p w14:paraId="610AE81E">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sz w:val="24"/>
          <w:szCs w:val="24"/>
        </w:rPr>
      </w:pPr>
      <w:r>
        <w:rPr>
          <w:rFonts w:hint="eastAsia" w:ascii="黑体" w:hAnsi="黑体" w:eastAsia="黑体" w:cs="黑体"/>
          <w:sz w:val="24"/>
          <w:szCs w:val="24"/>
        </w:rPr>
        <w:t>（二）为采购项目提供整体设计、规范编制或者项目管理、监理、检测等服务的供应商，不得再参加该采购项目的其他采购活动。</w:t>
      </w:r>
    </w:p>
    <w:p w14:paraId="63CB89AE">
      <w:pPr>
        <w:pageBreakBefore w:val="0"/>
        <w:widowControl w:val="0"/>
        <w:kinsoku/>
        <w:wordWrap/>
        <w:overflowPunct/>
        <w:topLinePunct w:val="0"/>
        <w:autoSpaceDE/>
        <w:autoSpaceDN/>
        <w:bidi w:val="0"/>
        <w:snapToGrid w:val="0"/>
        <w:spacing w:line="430" w:lineRule="exact"/>
        <w:ind w:firstLine="360" w:firstLineChars="150"/>
        <w:jc w:val="both"/>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eastAsia="zh-CN"/>
        </w:rPr>
        <w:t>三</w:t>
      </w:r>
      <w:r>
        <w:rPr>
          <w:rFonts w:hint="eastAsia" w:ascii="黑体" w:hAnsi="黑体" w:eastAsia="黑体" w:cs="黑体"/>
          <w:sz w:val="24"/>
          <w:szCs w:val="24"/>
        </w:rPr>
        <w:t>）本项目的澄清文件（如果有）一律在</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kern w:val="0"/>
          <w:sz w:val="24"/>
          <w:szCs w:val="24"/>
          <w:highlight w:val="none"/>
          <w:lang w:eastAsia="zh-CN"/>
        </w:rPr>
        <w:t>重庆市轻工业学校官网（https://www.cqqgx.com/）</w:t>
      </w:r>
      <w:r>
        <w:rPr>
          <w:rFonts w:hint="eastAsia" w:ascii="宋体" w:hAnsi="宋体" w:eastAsia="宋体" w:cs="宋体"/>
          <w:color w:val="auto"/>
          <w:kern w:val="0"/>
          <w:sz w:val="24"/>
          <w:szCs w:val="24"/>
          <w:highlight w:val="none"/>
          <w:lang w:eastAsia="zh-CN"/>
        </w:rPr>
        <w:t>”</w:t>
      </w:r>
      <w:r>
        <w:rPr>
          <w:rFonts w:hint="eastAsia" w:ascii="黑体" w:hAnsi="黑体" w:eastAsia="黑体" w:cs="黑体"/>
          <w:sz w:val="24"/>
          <w:szCs w:val="24"/>
        </w:rPr>
        <w:t>平台上发布，请各供应商注意下载；无论供应商下载与否，均视同供应商已知晓本项目澄清文件（如果有）的内容。</w:t>
      </w:r>
    </w:p>
    <w:p w14:paraId="10A5BBD4">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eastAsia="zh-CN"/>
        </w:rPr>
        <w:t>四</w:t>
      </w:r>
      <w:r>
        <w:rPr>
          <w:rFonts w:hint="eastAsia" w:ascii="黑体" w:hAnsi="黑体" w:eastAsia="黑体" w:cs="黑体"/>
          <w:sz w:val="24"/>
          <w:szCs w:val="24"/>
        </w:rPr>
        <w:t>）超过响应文件截止时间递交的响应文件，恕不接收。</w:t>
      </w:r>
    </w:p>
    <w:p w14:paraId="2ABC5DF4">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eastAsia="zh-CN"/>
        </w:rPr>
        <w:t>五</w:t>
      </w:r>
      <w:r>
        <w:rPr>
          <w:rFonts w:hint="eastAsia" w:ascii="黑体" w:hAnsi="黑体" w:eastAsia="黑体" w:cs="黑体"/>
          <w:sz w:val="24"/>
          <w:szCs w:val="24"/>
        </w:rPr>
        <w:t>）</w:t>
      </w:r>
      <w:r>
        <w:rPr>
          <w:rFonts w:hint="eastAsia" w:ascii="黑体" w:hAnsi="黑体" w:eastAsia="黑体" w:cs="黑体"/>
          <w:sz w:val="24"/>
          <w:szCs w:val="24"/>
          <w:lang w:val="en-US" w:eastAsia="zh-CN"/>
        </w:rPr>
        <w:t>询比</w:t>
      </w:r>
      <w:r>
        <w:rPr>
          <w:rFonts w:hint="eastAsia" w:ascii="黑体" w:hAnsi="黑体" w:eastAsia="黑体" w:cs="黑体"/>
          <w:sz w:val="24"/>
          <w:szCs w:val="24"/>
        </w:rPr>
        <w:t>费用：无论</w:t>
      </w:r>
      <w:r>
        <w:rPr>
          <w:rFonts w:hint="eastAsia" w:ascii="黑体" w:hAnsi="黑体" w:eastAsia="黑体" w:cs="黑体"/>
          <w:sz w:val="24"/>
          <w:szCs w:val="24"/>
          <w:lang w:val="en-US" w:eastAsia="zh-CN"/>
        </w:rPr>
        <w:t>询比</w:t>
      </w:r>
      <w:r>
        <w:rPr>
          <w:rFonts w:hint="eastAsia" w:ascii="黑体" w:hAnsi="黑体" w:eastAsia="黑体" w:cs="黑体"/>
          <w:sz w:val="24"/>
          <w:szCs w:val="24"/>
        </w:rPr>
        <w:t>结果如何，供应商参与本项目</w:t>
      </w:r>
      <w:r>
        <w:rPr>
          <w:rFonts w:hint="eastAsia" w:ascii="黑体" w:hAnsi="黑体" w:eastAsia="黑体" w:cs="黑体"/>
          <w:sz w:val="24"/>
          <w:szCs w:val="24"/>
          <w:lang w:val="en-US" w:eastAsia="zh-CN"/>
        </w:rPr>
        <w:t>询比</w:t>
      </w:r>
      <w:r>
        <w:rPr>
          <w:rFonts w:hint="eastAsia" w:ascii="黑体" w:hAnsi="黑体" w:eastAsia="黑体" w:cs="黑体"/>
          <w:sz w:val="24"/>
          <w:szCs w:val="24"/>
        </w:rPr>
        <w:t>的所有费用均应由供应商自行承担。</w:t>
      </w:r>
    </w:p>
    <w:p w14:paraId="66FA9D1A">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b w:val="0"/>
          <w:bCs w:val="0"/>
          <w:i w:val="0"/>
          <w:iCs w:val="0"/>
          <w:sz w:val="24"/>
          <w:szCs w:val="24"/>
        </w:rPr>
      </w:pPr>
      <w:r>
        <w:rPr>
          <w:rFonts w:hint="eastAsia" w:ascii="黑体" w:hAnsi="黑体" w:eastAsia="黑体" w:cs="黑体"/>
          <w:b w:val="0"/>
          <w:bCs w:val="0"/>
          <w:i w:val="0"/>
          <w:iCs w:val="0"/>
          <w:sz w:val="24"/>
          <w:szCs w:val="24"/>
        </w:rPr>
        <w:t>（</w:t>
      </w:r>
      <w:r>
        <w:rPr>
          <w:rFonts w:hint="eastAsia" w:ascii="黑体" w:hAnsi="黑体" w:eastAsia="黑体" w:cs="黑体"/>
          <w:b w:val="0"/>
          <w:bCs w:val="0"/>
          <w:i w:val="0"/>
          <w:iCs w:val="0"/>
          <w:sz w:val="24"/>
          <w:szCs w:val="24"/>
          <w:lang w:eastAsia="zh-CN"/>
        </w:rPr>
        <w:t>六</w:t>
      </w:r>
      <w:r>
        <w:rPr>
          <w:rFonts w:hint="eastAsia" w:ascii="黑体" w:hAnsi="黑体" w:eastAsia="黑体" w:cs="黑体"/>
          <w:b w:val="0"/>
          <w:bCs w:val="0"/>
          <w:i w:val="0"/>
          <w:iCs w:val="0"/>
          <w:sz w:val="24"/>
          <w:szCs w:val="24"/>
        </w:rPr>
        <w:t>）本项目不接受联合体参与报价，否则按无效处理。</w:t>
      </w:r>
    </w:p>
    <w:p w14:paraId="334757E5">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b w:val="0"/>
          <w:bCs w:val="0"/>
          <w:i w:val="0"/>
          <w:iCs w:val="0"/>
          <w:sz w:val="24"/>
          <w:szCs w:val="24"/>
        </w:rPr>
      </w:pPr>
      <w:r>
        <w:rPr>
          <w:rFonts w:hint="eastAsia" w:ascii="黑体" w:hAnsi="黑体" w:eastAsia="黑体" w:cs="黑体"/>
          <w:b w:val="0"/>
          <w:bCs w:val="0"/>
          <w:i w:val="0"/>
          <w:iCs w:val="0"/>
          <w:sz w:val="24"/>
          <w:szCs w:val="24"/>
        </w:rPr>
        <w:t>（</w:t>
      </w:r>
      <w:r>
        <w:rPr>
          <w:rFonts w:hint="eastAsia" w:ascii="黑体" w:hAnsi="黑体" w:eastAsia="黑体" w:cs="黑体"/>
          <w:b w:val="0"/>
          <w:bCs w:val="0"/>
          <w:i w:val="0"/>
          <w:iCs w:val="0"/>
          <w:sz w:val="24"/>
          <w:szCs w:val="24"/>
          <w:lang w:eastAsia="zh-CN"/>
        </w:rPr>
        <w:t>七</w:t>
      </w:r>
      <w:r>
        <w:rPr>
          <w:rFonts w:hint="eastAsia" w:ascii="黑体" w:hAnsi="黑体" w:eastAsia="黑体" w:cs="黑体"/>
          <w:b w:val="0"/>
          <w:bCs w:val="0"/>
          <w:i w:val="0"/>
          <w:iCs w:val="0"/>
          <w:sz w:val="24"/>
          <w:szCs w:val="24"/>
        </w:rPr>
        <w:t>）本项目不接受合同分包，否则按无效处理。</w:t>
      </w:r>
    </w:p>
    <w:p w14:paraId="2E41C8BC">
      <w:pPr>
        <w:pageBreakBefore w:val="0"/>
        <w:widowControl w:val="0"/>
        <w:kinsoku/>
        <w:wordWrap/>
        <w:overflowPunct/>
        <w:topLinePunct w:val="0"/>
        <w:autoSpaceDE/>
        <w:autoSpaceDN/>
        <w:bidi w:val="0"/>
        <w:snapToGrid w:val="0"/>
        <w:spacing w:line="430" w:lineRule="exact"/>
        <w:ind w:firstLine="360" w:firstLineChars="150"/>
        <w:jc w:val="left"/>
        <w:textAlignment w:val="auto"/>
        <w:rPr>
          <w:rFonts w:hint="eastAsia" w:ascii="黑体" w:hAnsi="黑体" w:eastAsia="黑体" w:cs="黑体"/>
          <w:color w:val="000000"/>
          <w:sz w:val="24"/>
          <w:szCs w:val="24"/>
        </w:rPr>
      </w:pPr>
      <w:r>
        <w:rPr>
          <w:rFonts w:hint="eastAsia" w:ascii="黑体" w:hAnsi="黑体" w:eastAsia="黑体" w:cs="黑体"/>
          <w:bCs/>
          <w:sz w:val="24"/>
          <w:szCs w:val="24"/>
        </w:rPr>
        <w:t>（</w:t>
      </w:r>
      <w:r>
        <w:rPr>
          <w:rFonts w:hint="eastAsia" w:ascii="黑体" w:hAnsi="黑体" w:eastAsia="黑体" w:cs="黑体"/>
          <w:bCs/>
          <w:sz w:val="24"/>
          <w:szCs w:val="24"/>
          <w:lang w:eastAsia="zh-CN"/>
        </w:rPr>
        <w:t>八</w:t>
      </w:r>
      <w:r>
        <w:rPr>
          <w:rFonts w:hint="eastAsia" w:ascii="黑体" w:hAnsi="黑体" w:eastAsia="黑体" w:cs="黑体"/>
          <w:bCs/>
          <w:sz w:val="24"/>
          <w:szCs w:val="24"/>
        </w:rPr>
        <w:t>）</w:t>
      </w:r>
      <w:r>
        <w:rPr>
          <w:rFonts w:hint="eastAsia" w:ascii="黑体" w:hAnsi="黑体" w:eastAsia="黑体" w:cs="黑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B2B6579">
      <w:pPr>
        <w:pStyle w:val="3"/>
        <w:pageBreakBefore w:val="0"/>
        <w:widowControl w:val="0"/>
        <w:kinsoku/>
        <w:wordWrap/>
        <w:overflowPunct/>
        <w:topLinePunct w:val="0"/>
        <w:autoSpaceDE/>
        <w:autoSpaceDN/>
        <w:bidi w:val="0"/>
        <w:spacing w:before="0" w:after="0" w:line="430" w:lineRule="exact"/>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 xml:space="preserve">    </w:t>
      </w:r>
      <w:bookmarkStart w:id="38" w:name="_Toc16903"/>
      <w:bookmarkStart w:id="39" w:name="_Toc30659"/>
      <w:r>
        <w:rPr>
          <w:rFonts w:hint="eastAsia" w:ascii="黑体" w:hAnsi="黑体" w:eastAsia="黑体" w:cs="黑体"/>
          <w:color w:val="000000"/>
          <w:sz w:val="24"/>
          <w:szCs w:val="24"/>
        </w:rPr>
        <w:t>七、联系方式</w:t>
      </w:r>
      <w:bookmarkEnd w:id="38"/>
      <w:bookmarkEnd w:id="39"/>
    </w:p>
    <w:p w14:paraId="31B1F53F">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color w:val="000000"/>
          <w:sz w:val="24"/>
          <w:szCs w:val="24"/>
          <w:lang w:eastAsia="zh-CN"/>
        </w:rPr>
      </w:pPr>
      <w:bookmarkStart w:id="40" w:name="_Toc14130"/>
      <w:bookmarkStart w:id="41" w:name="_Toc102227313"/>
      <w:r>
        <w:rPr>
          <w:rFonts w:hint="eastAsia" w:ascii="黑体" w:hAnsi="黑体" w:eastAsia="黑体" w:cs="黑体"/>
          <w:color w:val="000000"/>
          <w:sz w:val="24"/>
          <w:szCs w:val="24"/>
        </w:rPr>
        <w:t>（一）采购人：重庆市轻工业学校</w:t>
      </w:r>
    </w:p>
    <w:p w14:paraId="0D957D24">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联系人：</w:t>
      </w:r>
      <w:r>
        <w:rPr>
          <w:rFonts w:hint="eastAsia" w:ascii="黑体" w:hAnsi="黑体" w:eastAsia="黑体" w:cs="黑体"/>
          <w:sz w:val="24"/>
          <w:szCs w:val="24"/>
          <w:lang w:val="en-US" w:eastAsia="zh-CN"/>
        </w:rPr>
        <w:t>费</w:t>
      </w:r>
      <w:r>
        <w:rPr>
          <w:rFonts w:hint="eastAsia" w:ascii="黑体" w:hAnsi="黑体" w:eastAsia="黑体" w:cs="黑体"/>
          <w:sz w:val="24"/>
          <w:szCs w:val="24"/>
          <w:lang w:eastAsia="zh-CN"/>
        </w:rPr>
        <w:t>老师</w:t>
      </w:r>
    </w:p>
    <w:p w14:paraId="3A96535D">
      <w:pPr>
        <w:pageBreakBefore w:val="0"/>
        <w:widowControl w:val="0"/>
        <w:kinsoku/>
        <w:wordWrap/>
        <w:overflowPunct/>
        <w:topLinePunct w:val="0"/>
        <w:autoSpaceDE/>
        <w:autoSpaceDN/>
        <w:bidi w:val="0"/>
        <w:snapToGrid w:val="0"/>
        <w:spacing w:line="430" w:lineRule="exact"/>
        <w:ind w:firstLine="480" w:firstLineChars="200"/>
        <w:jc w:val="left"/>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电话：</w:t>
      </w:r>
      <w:r>
        <w:rPr>
          <w:rFonts w:hint="eastAsia" w:ascii="黑体" w:hAnsi="黑体" w:eastAsia="黑体" w:cs="黑体"/>
          <w:sz w:val="24"/>
          <w:szCs w:val="24"/>
          <w:lang w:val="en-US" w:eastAsia="zh-CN"/>
        </w:rPr>
        <w:t>023-88027112</w:t>
      </w:r>
    </w:p>
    <w:p w14:paraId="75A3CE8A">
      <w:pPr>
        <w:pageBreakBefore w:val="0"/>
        <w:widowControl w:val="0"/>
        <w:kinsoku/>
        <w:wordWrap/>
        <w:overflowPunct/>
        <w:topLinePunct w:val="0"/>
        <w:autoSpaceDE/>
        <w:autoSpaceDN/>
        <w:bidi w:val="0"/>
        <w:snapToGrid w:val="0"/>
        <w:spacing w:line="43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地址：</w:t>
      </w:r>
      <w:r>
        <w:rPr>
          <w:rFonts w:hint="eastAsia" w:ascii="黑体" w:hAnsi="黑体" w:eastAsia="黑体" w:cs="黑体"/>
          <w:color w:val="auto"/>
          <w:sz w:val="24"/>
          <w:szCs w:val="24"/>
          <w:highlight w:val="none"/>
        </w:rPr>
        <w:t>重庆市</w:t>
      </w:r>
      <w:r>
        <w:rPr>
          <w:rFonts w:hint="eastAsia" w:ascii="黑体" w:hAnsi="黑体" w:eastAsia="黑体" w:cs="黑体"/>
          <w:color w:val="auto"/>
          <w:sz w:val="24"/>
          <w:szCs w:val="24"/>
          <w:highlight w:val="none"/>
          <w:lang w:val="en-US" w:eastAsia="zh-CN"/>
        </w:rPr>
        <w:t>两江新</w:t>
      </w:r>
      <w:r>
        <w:rPr>
          <w:rFonts w:hint="eastAsia" w:ascii="黑体" w:hAnsi="黑体" w:eastAsia="黑体" w:cs="黑体"/>
          <w:color w:val="auto"/>
          <w:sz w:val="24"/>
          <w:szCs w:val="24"/>
          <w:highlight w:val="none"/>
        </w:rPr>
        <w:t>区童家溪镇同兴北路116号</w:t>
      </w:r>
    </w:p>
    <w:p w14:paraId="2ABD6FC4">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color w:val="000000"/>
          <w:sz w:val="24"/>
          <w:szCs w:val="24"/>
        </w:rPr>
      </w:pPr>
    </w:p>
    <w:p w14:paraId="50A08653">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（二）代理机构：重庆渝开洋工程管理咨询有限公司</w:t>
      </w:r>
    </w:p>
    <w:p w14:paraId="7F1B9A86">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联系人：陈老师</w:t>
      </w:r>
    </w:p>
    <w:p w14:paraId="1A1B08F2">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电  话：15025371336</w:t>
      </w:r>
    </w:p>
    <w:p w14:paraId="4CB84CC4">
      <w:pPr>
        <w:pageBreakBefore w:val="0"/>
        <w:widowControl w:val="0"/>
        <w:kinsoku/>
        <w:wordWrap/>
        <w:overflowPunct/>
        <w:topLinePunct w:val="0"/>
        <w:autoSpaceDE/>
        <w:autoSpaceDN/>
        <w:bidi w:val="0"/>
        <w:spacing w:line="430" w:lineRule="exact"/>
        <w:ind w:firstLine="480" w:firstLineChars="200"/>
        <w:jc w:val="left"/>
        <w:textAlignment w:val="auto"/>
        <w:rPr>
          <w:rFonts w:hint="eastAsia" w:ascii="黑体" w:hAnsi="黑体" w:eastAsia="黑体" w:cs="黑体"/>
          <w:color w:val="000000"/>
          <w:sz w:val="24"/>
          <w:szCs w:val="24"/>
          <w:lang w:val="en-US" w:eastAsia="zh-CN"/>
        </w:rPr>
        <w:sectPr>
          <w:headerReference r:id="rId11" w:type="default"/>
          <w:footerReference r:id="rId12" w:type="default"/>
          <w:pgSz w:w="11907" w:h="16840"/>
          <w:pgMar w:top="1418" w:right="1418" w:bottom="1418" w:left="1418" w:header="680" w:footer="1020" w:gutter="0"/>
          <w:pgNumType w:fmt="numberInDash"/>
          <w:cols w:space="720" w:num="1"/>
          <w:docGrid w:linePitch="312" w:charSpace="0"/>
        </w:sectPr>
      </w:pPr>
      <w:r>
        <w:rPr>
          <w:rFonts w:hint="eastAsia" w:ascii="黑体" w:hAnsi="黑体" w:eastAsia="黑体" w:cs="黑体"/>
          <w:color w:val="000000"/>
          <w:sz w:val="24"/>
          <w:szCs w:val="24"/>
        </w:rPr>
        <w:t>地  址：</w:t>
      </w:r>
      <w:r>
        <w:rPr>
          <w:rFonts w:hint="eastAsia" w:ascii="黑体" w:hAnsi="黑体" w:eastAsia="黑体" w:cs="黑体"/>
          <w:sz w:val="24"/>
          <w:szCs w:val="24"/>
        </w:rPr>
        <w:t>重庆市南岸区恒大同景国际城星时</w:t>
      </w:r>
      <w:r>
        <w:rPr>
          <w:rFonts w:hint="eastAsia" w:ascii="黑体" w:hAnsi="黑体" w:eastAsia="黑体" w:cs="黑体"/>
          <w:sz w:val="24"/>
          <w:szCs w:val="24"/>
          <w:lang w:val="en-US" w:eastAsia="zh-CN"/>
        </w:rPr>
        <w:t>代</w:t>
      </w:r>
    </w:p>
    <w:bookmarkEnd w:id="40"/>
    <w:bookmarkEnd w:id="41"/>
    <w:p w14:paraId="4297410E">
      <w:pPr>
        <w:pStyle w:val="3"/>
        <w:numPr>
          <w:ilvl w:val="0"/>
          <w:numId w:val="0"/>
        </w:numPr>
        <w:spacing w:before="0" w:after="0" w:line="360" w:lineRule="auto"/>
        <w:jc w:val="center"/>
        <w:rPr>
          <w:rFonts w:hint="eastAsia" w:ascii="黑体" w:hAnsi="黑体" w:eastAsia="黑体" w:cs="黑体"/>
          <w:b/>
          <w:bCs/>
          <w:sz w:val="32"/>
          <w:szCs w:val="32"/>
        </w:rPr>
      </w:pPr>
      <w:bookmarkStart w:id="42" w:name="_Toc106034778"/>
      <w:bookmarkStart w:id="43" w:name="_Toc65660338"/>
      <w:bookmarkStart w:id="44" w:name="_Toc11327"/>
      <w:bookmarkStart w:id="45" w:name="_Toc14516"/>
      <w:bookmarkStart w:id="46" w:name="_Toc1292"/>
      <w:r>
        <w:rPr>
          <w:rFonts w:hint="eastAsia" w:ascii="黑体" w:hAnsi="黑体" w:eastAsia="黑体" w:cs="黑体"/>
          <w:b/>
          <w:bCs/>
          <w:sz w:val="32"/>
          <w:szCs w:val="32"/>
          <w:lang w:val="en-US" w:eastAsia="zh-CN"/>
        </w:rPr>
        <w:t xml:space="preserve">第二篇 </w:t>
      </w:r>
      <w:r>
        <w:rPr>
          <w:rFonts w:hint="eastAsia" w:ascii="黑体" w:hAnsi="黑体" w:eastAsia="黑体" w:cs="黑体"/>
          <w:b/>
          <w:bCs/>
          <w:sz w:val="32"/>
          <w:szCs w:val="32"/>
        </w:rPr>
        <w:t>项目</w:t>
      </w:r>
      <w:r>
        <w:rPr>
          <w:rFonts w:hint="eastAsia" w:ascii="黑体" w:hAnsi="黑体" w:eastAsia="黑体" w:cs="黑体"/>
          <w:b/>
          <w:bCs/>
          <w:sz w:val="32"/>
          <w:szCs w:val="32"/>
          <w:lang w:eastAsia="zh-CN"/>
        </w:rPr>
        <w:t>服务</w:t>
      </w:r>
      <w:r>
        <w:rPr>
          <w:rFonts w:hint="eastAsia" w:ascii="黑体" w:hAnsi="黑体" w:eastAsia="黑体" w:cs="黑体"/>
          <w:b/>
          <w:bCs/>
          <w:sz w:val="32"/>
          <w:szCs w:val="32"/>
        </w:rPr>
        <w:t>需求</w:t>
      </w:r>
      <w:bookmarkEnd w:id="42"/>
      <w:bookmarkEnd w:id="43"/>
      <w:bookmarkEnd w:id="44"/>
      <w:bookmarkEnd w:id="45"/>
      <w:bookmarkEnd w:id="46"/>
      <w:bookmarkStart w:id="47" w:name="_Toc342913389"/>
    </w:p>
    <w:p w14:paraId="1B0DED11">
      <w:pPr>
        <w:numPr>
          <w:ilvl w:val="0"/>
          <w:numId w:val="0"/>
        </w:numPr>
        <w:shd w:val="clear"/>
        <w:spacing w:line="240" w:lineRule="auto"/>
        <w:ind w:firstLine="480" w:firstLineChars="200"/>
        <w:jc w:val="both"/>
        <w:outlineLvl w:val="9"/>
        <w:rPr>
          <w:rFonts w:hint="eastAsia" w:ascii="黑体" w:hAnsi="黑体" w:eastAsia="黑体" w:cs="黑体"/>
          <w:bCs/>
          <w:kern w:val="2"/>
          <w:sz w:val="24"/>
          <w:szCs w:val="24"/>
          <w:highlight w:val="none"/>
          <w:lang w:val="en-US" w:eastAsia="zh-CN" w:bidi="ar-SA"/>
        </w:rPr>
      </w:pPr>
    </w:p>
    <w:bookmarkEnd w:id="47"/>
    <w:p w14:paraId="1CCD38D5">
      <w:pPr>
        <w:keepNext w:val="0"/>
        <w:keepLines w:val="0"/>
        <w:pageBreakBefore w:val="0"/>
        <w:widowControl w:val="0"/>
        <w:numPr>
          <w:ilvl w:val="0"/>
          <w:numId w:val="0"/>
        </w:numPr>
        <w:kinsoku/>
        <w:wordWrap/>
        <w:overflowPunct/>
        <w:topLinePunct w:val="0"/>
        <w:autoSpaceDE/>
        <w:autoSpaceDN/>
        <w:bidi w:val="0"/>
        <w:adjustRightInd/>
        <w:snapToGrid/>
        <w:spacing w:before="89" w:line="440" w:lineRule="exact"/>
        <w:ind w:right="45" w:rightChars="0" w:firstLine="482" w:firstLineChars="200"/>
        <w:jc w:val="left"/>
        <w:textAlignment w:val="auto"/>
        <w:rPr>
          <w:rFonts w:hint="eastAsia" w:ascii="黑体" w:hAnsi="黑体" w:eastAsia="黑体" w:cs="黑体"/>
          <w:b/>
          <w:bCs/>
          <w:snapToGrid/>
          <w:color w:val="auto"/>
          <w:kern w:val="2"/>
          <w:sz w:val="24"/>
          <w:szCs w:val="24"/>
          <w:lang w:eastAsia="zh-CN"/>
        </w:rPr>
      </w:pPr>
      <w:bookmarkStart w:id="48" w:name="_Toc342913394"/>
      <w:bookmarkStart w:id="49" w:name="_Toc102227320"/>
      <w:r>
        <w:rPr>
          <w:rFonts w:hint="eastAsia" w:ascii="黑体" w:hAnsi="黑体" w:eastAsia="黑体" w:cs="黑体"/>
          <w:b/>
          <w:bCs/>
          <w:snapToGrid/>
          <w:color w:val="auto"/>
          <w:kern w:val="2"/>
          <w:sz w:val="24"/>
          <w:szCs w:val="24"/>
          <w:lang w:val="en-US" w:eastAsia="zh-CN"/>
        </w:rPr>
        <w:t>一、</w:t>
      </w:r>
      <w:r>
        <w:rPr>
          <w:rFonts w:hint="eastAsia" w:ascii="黑体" w:hAnsi="黑体" w:eastAsia="黑体" w:cs="黑体"/>
          <w:b/>
          <w:bCs/>
          <w:snapToGrid/>
          <w:color w:val="auto"/>
          <w:kern w:val="2"/>
          <w:sz w:val="24"/>
          <w:szCs w:val="24"/>
          <w:lang w:eastAsia="zh-CN"/>
        </w:rPr>
        <w:t>项目概况</w:t>
      </w:r>
      <w:r>
        <w:rPr>
          <w:rFonts w:hint="eastAsia" w:ascii="黑体" w:hAnsi="黑体" w:eastAsia="黑体" w:cs="黑体"/>
          <w:b/>
          <w:bCs/>
          <w:snapToGrid/>
          <w:color w:val="auto"/>
          <w:kern w:val="2"/>
          <w:sz w:val="24"/>
          <w:szCs w:val="24"/>
          <w:lang w:val="en-US" w:eastAsia="zh-CN"/>
        </w:rPr>
        <w:t xml:space="preserve"> </w:t>
      </w:r>
      <w:r>
        <w:rPr>
          <w:rFonts w:hint="eastAsia" w:ascii="黑体" w:hAnsi="黑体" w:eastAsia="黑体" w:cs="黑体"/>
          <w:b/>
          <w:bCs/>
          <w:snapToGrid/>
          <w:color w:val="auto"/>
          <w:kern w:val="2"/>
          <w:sz w:val="24"/>
          <w:szCs w:val="24"/>
          <w:lang w:eastAsia="zh-CN"/>
        </w:rPr>
        <w:t xml:space="preserve"> </w:t>
      </w:r>
      <w:bookmarkStart w:id="50" w:name="_Toc22376"/>
      <w:bookmarkStart w:id="51" w:name="_Toc28258"/>
    </w:p>
    <w:p w14:paraId="34856373">
      <w:pPr>
        <w:keepNext w:val="0"/>
        <w:keepLines w:val="0"/>
        <w:pageBreakBefore w:val="0"/>
        <w:widowControl w:val="0"/>
        <w:numPr>
          <w:ilvl w:val="0"/>
          <w:numId w:val="0"/>
        </w:numPr>
        <w:kinsoku/>
        <w:wordWrap/>
        <w:overflowPunct/>
        <w:topLinePunct w:val="0"/>
        <w:autoSpaceDE/>
        <w:autoSpaceDN/>
        <w:bidi w:val="0"/>
        <w:adjustRightInd/>
        <w:snapToGrid/>
        <w:spacing w:before="89" w:line="440" w:lineRule="exact"/>
        <w:ind w:right="45" w:rightChars="0" w:firstLine="480" w:firstLineChars="200"/>
        <w:jc w:val="left"/>
        <w:textAlignment w:val="auto"/>
        <w:rPr>
          <w:rFonts w:hint="eastAsia" w:ascii="黑体" w:hAnsi="黑体" w:eastAsia="黑体" w:cs="黑体"/>
          <w:snapToGrid/>
          <w:kern w:val="2"/>
          <w:sz w:val="24"/>
          <w:szCs w:val="24"/>
          <w:lang w:eastAsia="zh-CN"/>
        </w:rPr>
      </w:pPr>
      <w:r>
        <w:rPr>
          <w:rFonts w:hint="eastAsia" w:ascii="黑体" w:hAnsi="黑体" w:eastAsia="黑体" w:cs="黑体"/>
          <w:snapToGrid/>
          <w:color w:val="auto"/>
          <w:kern w:val="2"/>
          <w:sz w:val="24"/>
          <w:szCs w:val="24"/>
          <w:lang w:eastAsia="zh-CN"/>
        </w:rPr>
        <w:t>重庆市轻工业学校2026-2028年学生体检服务（</w:t>
      </w:r>
      <w:r>
        <w:rPr>
          <w:rFonts w:hint="eastAsia" w:ascii="黑体" w:hAnsi="黑体" w:eastAsia="黑体" w:cs="黑体"/>
          <w:snapToGrid/>
          <w:color w:val="auto"/>
          <w:kern w:val="2"/>
          <w:sz w:val="24"/>
          <w:szCs w:val="24"/>
          <w:lang w:val="en-US" w:eastAsia="zh-CN"/>
        </w:rPr>
        <w:t>第二次）</w:t>
      </w:r>
      <w:r>
        <w:rPr>
          <w:rFonts w:hint="eastAsia" w:ascii="黑体" w:hAnsi="黑体" w:eastAsia="黑体" w:cs="黑体"/>
          <w:snapToGrid/>
          <w:color w:val="auto"/>
          <w:kern w:val="2"/>
          <w:sz w:val="24"/>
          <w:szCs w:val="24"/>
          <w:lang w:eastAsia="zh-CN"/>
        </w:rPr>
        <w:t>，</w:t>
      </w:r>
      <w:r>
        <w:rPr>
          <w:rFonts w:hint="eastAsia" w:ascii="黑体" w:hAnsi="黑体" w:eastAsia="黑体" w:cs="黑体"/>
          <w:snapToGrid/>
          <w:kern w:val="2"/>
          <w:sz w:val="24"/>
          <w:szCs w:val="24"/>
          <w:lang w:eastAsia="zh-CN"/>
        </w:rPr>
        <w:t>最终以实际</w:t>
      </w:r>
      <w:r>
        <w:rPr>
          <w:rFonts w:hint="eastAsia" w:ascii="黑体" w:hAnsi="黑体" w:eastAsia="黑体" w:cs="黑体"/>
          <w:snapToGrid/>
          <w:kern w:val="2"/>
          <w:sz w:val="24"/>
          <w:szCs w:val="24"/>
          <w:lang w:val="en-US" w:eastAsia="zh-CN"/>
        </w:rPr>
        <w:t>体检人数</w:t>
      </w:r>
      <w:r>
        <w:rPr>
          <w:rFonts w:hint="eastAsia" w:ascii="黑体" w:hAnsi="黑体" w:eastAsia="黑体" w:cs="黑体"/>
          <w:snapToGrid/>
          <w:kern w:val="2"/>
          <w:sz w:val="24"/>
          <w:szCs w:val="24"/>
          <w:lang w:eastAsia="zh-CN"/>
        </w:rPr>
        <w:t>为准。</w:t>
      </w:r>
      <w:bookmarkEnd w:id="50"/>
    </w:p>
    <w:p w14:paraId="47C53CA2">
      <w:pPr>
        <w:pStyle w:val="4"/>
        <w:pageBreakBefore w:val="0"/>
        <w:widowControl w:val="0"/>
        <w:kinsoku/>
        <w:wordWrap/>
        <w:overflowPunct/>
        <w:topLinePunct w:val="0"/>
        <w:autoSpaceDE/>
        <w:autoSpaceDN/>
        <w:bidi w:val="0"/>
        <w:adjustRightInd/>
        <w:snapToGrid/>
        <w:spacing w:before="0" w:after="0" w:line="440" w:lineRule="exact"/>
        <w:ind w:firstLine="482" w:firstLineChars="200"/>
        <w:jc w:val="left"/>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lang w:eastAsia="zh-CN"/>
        </w:rPr>
        <w:t>服务内容</w:t>
      </w:r>
    </w:p>
    <w:tbl>
      <w:tblPr>
        <w:tblStyle w:val="59"/>
        <w:tblpPr w:leftFromText="180" w:rightFromText="180" w:vertAnchor="text" w:horzAnchor="page" w:tblpX="1525" w:tblpY="312"/>
        <w:tblOverlap w:val="never"/>
        <w:tblW w:w="8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736"/>
        <w:gridCol w:w="4729"/>
        <w:gridCol w:w="1530"/>
      </w:tblGrid>
      <w:tr w14:paraId="476A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9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bCs/>
                <w:i w:val="0"/>
                <w:iCs w:val="0"/>
                <w:color w:val="auto"/>
                <w:kern w:val="0"/>
                <w:sz w:val="21"/>
                <w:szCs w:val="21"/>
                <w:highlight w:val="none"/>
                <w:u w:val="none"/>
                <w:lang w:val="en-US" w:eastAsia="zh-CN" w:bidi="ar"/>
              </w:rPr>
            </w:pPr>
            <w:r>
              <w:rPr>
                <w:rFonts w:hint="eastAsia" w:ascii="黑体" w:hAnsi="黑体" w:eastAsia="黑体" w:cs="黑体"/>
                <w:b/>
                <w:bCs/>
                <w:i w:val="0"/>
                <w:iCs w:val="0"/>
                <w:color w:val="auto"/>
                <w:kern w:val="0"/>
                <w:sz w:val="21"/>
                <w:szCs w:val="21"/>
                <w:highlight w:val="none"/>
                <w:u w:val="none"/>
                <w:lang w:val="en-US" w:eastAsia="zh-CN" w:bidi="ar"/>
              </w:rPr>
              <w:t>序号</w:t>
            </w:r>
          </w:p>
        </w:tc>
        <w:tc>
          <w:tcPr>
            <w:tcW w:w="6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CF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bCs/>
                <w:i w:val="0"/>
                <w:iCs w:val="0"/>
                <w:color w:val="auto"/>
                <w:kern w:val="0"/>
                <w:sz w:val="21"/>
                <w:szCs w:val="21"/>
                <w:highlight w:val="none"/>
                <w:u w:val="none"/>
                <w:lang w:val="en-US" w:eastAsia="zh-CN" w:bidi="ar"/>
              </w:rPr>
            </w:pPr>
            <w:r>
              <w:rPr>
                <w:rFonts w:hint="eastAsia" w:ascii="黑体" w:hAnsi="黑体" w:eastAsia="黑体" w:cs="黑体"/>
                <w:b/>
                <w:bCs/>
                <w:i w:val="0"/>
                <w:iCs w:val="0"/>
                <w:color w:val="auto"/>
                <w:kern w:val="0"/>
                <w:sz w:val="21"/>
                <w:szCs w:val="21"/>
                <w:highlight w:val="none"/>
                <w:u w:val="none"/>
                <w:lang w:val="en-US" w:eastAsia="zh-CN" w:bidi="ar"/>
              </w:rPr>
              <w:t>体检项目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8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b/>
                <w:bCs/>
                <w:i w:val="0"/>
                <w:iCs w:val="0"/>
                <w:color w:val="auto"/>
                <w:kern w:val="0"/>
                <w:sz w:val="24"/>
                <w:szCs w:val="24"/>
                <w:highlight w:val="none"/>
                <w:u w:val="none"/>
                <w:lang w:val="en-US" w:eastAsia="zh-CN" w:bidi="ar"/>
              </w:rPr>
            </w:pPr>
            <w:r>
              <w:rPr>
                <w:rFonts w:hint="eastAsia" w:ascii="黑体" w:hAnsi="黑体" w:eastAsia="黑体" w:cs="黑体"/>
                <w:b/>
                <w:bCs/>
                <w:i w:val="0"/>
                <w:iCs w:val="0"/>
                <w:color w:val="auto"/>
                <w:kern w:val="0"/>
                <w:sz w:val="24"/>
                <w:szCs w:val="24"/>
                <w:highlight w:val="none"/>
                <w:u w:val="none"/>
                <w:lang w:val="en-US" w:eastAsia="zh-CN" w:bidi="ar"/>
              </w:rPr>
              <w:t>备注</w:t>
            </w:r>
          </w:p>
        </w:tc>
      </w:tr>
      <w:tr w14:paraId="1057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1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F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基础体格检查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E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i w:val="0"/>
                <w:iCs w:val="0"/>
                <w:color w:val="auto"/>
                <w:kern w:val="0"/>
                <w:sz w:val="21"/>
                <w:szCs w:val="21"/>
                <w:highlight w:val="none"/>
                <w:u w:val="none"/>
                <w:lang w:val="en-US" w:eastAsia="zh-CN" w:bidi="ar"/>
              </w:rPr>
              <w:t>身高、体重、体重指数(BMI)、腰围、臀围</w:t>
            </w:r>
          </w:p>
        </w:tc>
        <w:tc>
          <w:tcPr>
            <w:tcW w:w="1530" w:type="dxa"/>
            <w:vMerge w:val="restart"/>
            <w:tcBorders>
              <w:top w:val="single" w:color="000000" w:sz="4" w:space="0"/>
              <w:left w:val="single" w:color="000000" w:sz="4" w:space="0"/>
              <w:right w:val="single" w:color="000000" w:sz="4" w:space="0"/>
            </w:tcBorders>
            <w:shd w:val="clear" w:color="auto" w:fill="auto"/>
            <w:vAlign w:val="center"/>
          </w:tcPr>
          <w:p w14:paraId="20130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default" w:ascii="黑体" w:hAnsi="黑体" w:eastAsia="黑体" w:cs="黑体"/>
                <w:i w:val="0"/>
                <w:iCs w:val="0"/>
                <w:color w:val="auto"/>
                <w:kern w:val="0"/>
                <w:sz w:val="24"/>
                <w:szCs w:val="24"/>
                <w:highlight w:val="none"/>
                <w:u w:val="none"/>
                <w:lang w:val="en-US" w:eastAsia="zh-CN" w:bidi="ar"/>
              </w:rPr>
            </w:pPr>
          </w:p>
        </w:tc>
      </w:tr>
      <w:tr w14:paraId="7D9C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8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2</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2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血压检查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E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kern w:val="0"/>
                <w:sz w:val="21"/>
                <w:szCs w:val="21"/>
                <w:highlight w:val="none"/>
                <w:u w:val="none"/>
                <w:lang w:val="en-US" w:eastAsia="zh-CN" w:bidi="ar"/>
              </w:rPr>
            </w:pPr>
            <w:r>
              <w:rPr>
                <w:rFonts w:hint="eastAsia" w:ascii="黑体" w:hAnsi="黑体" w:eastAsia="黑体" w:cs="黑体"/>
                <w:i w:val="0"/>
                <w:iCs w:val="0"/>
                <w:color w:val="auto"/>
                <w:kern w:val="0"/>
                <w:sz w:val="21"/>
                <w:szCs w:val="21"/>
                <w:highlight w:val="none"/>
                <w:u w:val="none"/>
                <w:lang w:val="en-US" w:eastAsia="zh-CN" w:bidi="ar"/>
              </w:rPr>
              <w:t>血压、心率</w:t>
            </w:r>
          </w:p>
        </w:tc>
        <w:tc>
          <w:tcPr>
            <w:tcW w:w="1530" w:type="dxa"/>
            <w:vMerge w:val="continue"/>
            <w:tcBorders>
              <w:left w:val="single" w:color="000000" w:sz="4" w:space="0"/>
              <w:right w:val="single" w:color="000000" w:sz="4" w:space="0"/>
            </w:tcBorders>
            <w:shd w:val="clear" w:color="auto" w:fill="auto"/>
            <w:vAlign w:val="center"/>
          </w:tcPr>
          <w:p w14:paraId="3A3B2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14:paraId="4F9A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3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3</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1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肺活量检查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kern w:val="0"/>
                <w:sz w:val="21"/>
                <w:szCs w:val="21"/>
                <w:highlight w:val="none"/>
                <w:u w:val="none"/>
                <w:lang w:val="en-US" w:eastAsia="zh-CN" w:bidi="ar"/>
              </w:rPr>
            </w:pPr>
            <w:r>
              <w:rPr>
                <w:rFonts w:hint="eastAsia" w:ascii="黑体" w:hAnsi="黑体" w:eastAsia="黑体" w:cs="黑体"/>
                <w:i w:val="0"/>
                <w:iCs w:val="0"/>
                <w:color w:val="auto"/>
                <w:kern w:val="0"/>
                <w:sz w:val="21"/>
                <w:szCs w:val="21"/>
                <w:highlight w:val="none"/>
                <w:u w:val="none"/>
                <w:lang w:val="en-US" w:eastAsia="zh-CN" w:bidi="ar"/>
              </w:rPr>
              <w:t>肺活量测定</w:t>
            </w:r>
          </w:p>
        </w:tc>
        <w:tc>
          <w:tcPr>
            <w:tcW w:w="1530" w:type="dxa"/>
            <w:vMerge w:val="continue"/>
            <w:tcBorders>
              <w:left w:val="single" w:color="000000" w:sz="4" w:space="0"/>
              <w:right w:val="single" w:color="000000" w:sz="4" w:space="0"/>
            </w:tcBorders>
            <w:shd w:val="clear" w:color="auto" w:fill="auto"/>
            <w:vAlign w:val="center"/>
          </w:tcPr>
          <w:p w14:paraId="06D87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14:paraId="1A28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A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4</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6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lang w:val="en-US"/>
              </w:rPr>
            </w:pPr>
            <w:r>
              <w:rPr>
                <w:rFonts w:hint="eastAsia" w:ascii="黑体" w:hAnsi="黑体" w:eastAsia="黑体" w:cs="黑体"/>
                <w:b w:val="0"/>
                <w:bCs w:val="0"/>
                <w:i w:val="0"/>
                <w:iCs w:val="0"/>
                <w:color w:val="auto"/>
                <w:kern w:val="0"/>
                <w:sz w:val="21"/>
                <w:szCs w:val="21"/>
                <w:highlight w:val="none"/>
                <w:u w:val="none"/>
                <w:lang w:val="en-US" w:eastAsia="zh-CN" w:bidi="ar"/>
              </w:rPr>
              <w:t>内科检查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b w:val="0"/>
                <w:color w:val="000000"/>
                <w:w w:val="100"/>
                <w:sz w:val="21"/>
                <w:szCs w:val="21"/>
                <w:lang w:eastAsia="zh-CN"/>
              </w:rPr>
              <w:t>心、肺听诊（有无心脏杂音、异常呼吸音等）</w:t>
            </w:r>
          </w:p>
        </w:tc>
        <w:tc>
          <w:tcPr>
            <w:tcW w:w="1530" w:type="dxa"/>
            <w:vMerge w:val="continue"/>
            <w:tcBorders>
              <w:left w:val="single" w:color="000000" w:sz="4" w:space="0"/>
              <w:right w:val="single" w:color="000000" w:sz="4" w:space="0"/>
            </w:tcBorders>
            <w:shd w:val="clear" w:color="auto" w:fill="auto"/>
            <w:vAlign w:val="center"/>
          </w:tcPr>
          <w:p w14:paraId="0214E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b w:val="0"/>
                <w:color w:val="000000"/>
                <w:w w:val="100"/>
                <w:sz w:val="24"/>
                <w:szCs w:val="24"/>
                <w:lang w:eastAsia="zh-CN"/>
              </w:rPr>
            </w:pPr>
          </w:p>
        </w:tc>
      </w:tr>
      <w:tr w14:paraId="2219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8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5</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眼科检查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0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i w:val="0"/>
                <w:iCs w:val="0"/>
                <w:color w:val="auto"/>
                <w:kern w:val="0"/>
                <w:sz w:val="21"/>
                <w:szCs w:val="21"/>
                <w:highlight w:val="none"/>
                <w:u w:val="none"/>
                <w:lang w:val="en-US" w:eastAsia="zh-CN" w:bidi="ar"/>
              </w:rPr>
              <w:t>视力、色觉</w:t>
            </w:r>
          </w:p>
        </w:tc>
        <w:tc>
          <w:tcPr>
            <w:tcW w:w="1530" w:type="dxa"/>
            <w:vMerge w:val="continue"/>
            <w:tcBorders>
              <w:left w:val="single" w:color="000000" w:sz="4" w:space="0"/>
              <w:right w:val="single" w:color="000000" w:sz="4" w:space="0"/>
            </w:tcBorders>
            <w:shd w:val="clear" w:color="auto" w:fill="auto"/>
            <w:vAlign w:val="center"/>
          </w:tcPr>
          <w:p w14:paraId="1E33F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14:paraId="155B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9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F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肝功2项</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4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i w:val="0"/>
                <w:iCs w:val="0"/>
                <w:color w:val="auto"/>
                <w:kern w:val="0"/>
                <w:sz w:val="21"/>
                <w:szCs w:val="21"/>
                <w:highlight w:val="none"/>
                <w:u w:val="none"/>
                <w:lang w:val="en-US" w:eastAsia="zh-CN" w:bidi="ar"/>
              </w:rPr>
              <w:t>谷丙转氨酶（ALT），谷草转氨酶(AST)</w:t>
            </w:r>
          </w:p>
        </w:tc>
        <w:tc>
          <w:tcPr>
            <w:tcW w:w="1530" w:type="dxa"/>
            <w:vMerge w:val="continue"/>
            <w:tcBorders>
              <w:left w:val="single" w:color="000000" w:sz="4" w:space="0"/>
              <w:right w:val="single" w:color="000000" w:sz="4" w:space="0"/>
            </w:tcBorders>
            <w:shd w:val="clear" w:color="auto" w:fill="auto"/>
            <w:vAlign w:val="center"/>
          </w:tcPr>
          <w:p w14:paraId="3A24A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14:paraId="6910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9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22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血常规</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C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i w:val="0"/>
                <w:iCs w:val="0"/>
                <w:color w:val="auto"/>
                <w:kern w:val="0"/>
                <w:sz w:val="21"/>
                <w:szCs w:val="21"/>
                <w:highlight w:val="none"/>
                <w:u w:val="none"/>
                <w:lang w:val="en-US" w:eastAsia="zh-CN" w:bidi="ar"/>
              </w:rPr>
              <w:t>有无感染、贫血、凝血功能障碍</w:t>
            </w:r>
          </w:p>
        </w:tc>
        <w:tc>
          <w:tcPr>
            <w:tcW w:w="1530" w:type="dxa"/>
            <w:vMerge w:val="continue"/>
            <w:tcBorders>
              <w:left w:val="single" w:color="000000" w:sz="4" w:space="0"/>
              <w:right w:val="single" w:color="000000" w:sz="4" w:space="0"/>
            </w:tcBorders>
            <w:shd w:val="clear" w:color="auto" w:fill="auto"/>
            <w:vAlign w:val="center"/>
          </w:tcPr>
          <w:p w14:paraId="08D2E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i w:val="0"/>
                <w:iCs w:val="0"/>
                <w:color w:val="auto"/>
                <w:kern w:val="0"/>
                <w:sz w:val="24"/>
                <w:szCs w:val="24"/>
                <w:highlight w:val="none"/>
                <w:u w:val="none"/>
                <w:lang w:val="en-US" w:eastAsia="zh-CN" w:bidi="ar"/>
              </w:rPr>
            </w:pPr>
          </w:p>
        </w:tc>
      </w:tr>
      <w:tr w14:paraId="22F5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0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8</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rPr>
            </w:pPr>
            <w:r>
              <w:rPr>
                <w:rFonts w:hint="eastAsia" w:ascii="黑体" w:hAnsi="黑体" w:eastAsia="黑体" w:cs="黑体"/>
                <w:b w:val="0"/>
                <w:bCs w:val="0"/>
                <w:i w:val="0"/>
                <w:iCs w:val="0"/>
                <w:color w:val="auto"/>
                <w:kern w:val="0"/>
                <w:sz w:val="21"/>
                <w:szCs w:val="21"/>
                <w:highlight w:val="none"/>
                <w:u w:val="none"/>
                <w:lang w:val="en-US" w:eastAsia="zh-CN" w:bidi="ar"/>
              </w:rPr>
              <w:t>心电图检查</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b w:val="0"/>
                <w:bCs w:val="0"/>
                <w:i w:val="0"/>
                <w:iCs w:val="0"/>
                <w:color w:val="auto"/>
                <w:kern w:val="0"/>
                <w:sz w:val="21"/>
                <w:szCs w:val="21"/>
                <w:highlight w:val="none"/>
                <w:u w:val="none"/>
                <w:lang w:val="en-US" w:eastAsia="zh-CN" w:bidi="ar"/>
              </w:rPr>
              <w:t>十二导联静态心电图检查</w:t>
            </w:r>
          </w:p>
        </w:tc>
        <w:tc>
          <w:tcPr>
            <w:tcW w:w="1530" w:type="dxa"/>
            <w:vMerge w:val="continue"/>
            <w:tcBorders>
              <w:left w:val="single" w:color="000000" w:sz="4" w:space="0"/>
              <w:right w:val="single" w:color="000000" w:sz="4" w:space="0"/>
            </w:tcBorders>
            <w:shd w:val="clear" w:color="auto" w:fill="auto"/>
            <w:vAlign w:val="center"/>
          </w:tcPr>
          <w:p w14:paraId="0ECFF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黑体" w:hAnsi="黑体" w:eastAsia="黑体" w:cs="黑体"/>
                <w:b w:val="0"/>
                <w:bCs w:val="0"/>
                <w:i w:val="0"/>
                <w:iCs w:val="0"/>
                <w:color w:val="auto"/>
                <w:kern w:val="0"/>
                <w:sz w:val="24"/>
                <w:szCs w:val="24"/>
                <w:highlight w:val="none"/>
                <w:u w:val="none"/>
                <w:lang w:val="en-US" w:eastAsia="zh-CN" w:bidi="ar"/>
              </w:rPr>
            </w:pPr>
          </w:p>
        </w:tc>
      </w:tr>
      <w:tr w14:paraId="1458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A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黑体" w:hAnsi="黑体" w:eastAsia="黑体" w:cs="黑体"/>
                <w:b w:val="0"/>
                <w:bCs w:val="0"/>
                <w:i w:val="0"/>
                <w:iCs w:val="0"/>
                <w:color w:val="auto"/>
                <w:kern w:val="0"/>
                <w:sz w:val="21"/>
                <w:szCs w:val="21"/>
                <w:highlight w:val="none"/>
                <w:u w:val="none"/>
                <w:lang w:val="en-US" w:eastAsia="zh-CN" w:bidi="ar"/>
              </w:rPr>
            </w:pPr>
            <w:r>
              <w:rPr>
                <w:rFonts w:hint="eastAsia" w:ascii="黑体" w:hAnsi="黑体" w:eastAsia="黑体" w:cs="黑体"/>
                <w:b w:val="0"/>
                <w:bCs w:val="0"/>
                <w:i w:val="0"/>
                <w:iCs w:val="0"/>
                <w:color w:val="auto"/>
                <w:kern w:val="0"/>
                <w:sz w:val="21"/>
                <w:szCs w:val="21"/>
                <w:highlight w:val="none"/>
                <w:u w:val="none"/>
                <w:lang w:val="en-US" w:eastAsia="zh-CN" w:bidi="ar"/>
              </w:rPr>
              <w:t>9</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A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b w:val="0"/>
                <w:bCs w:val="0"/>
                <w:i w:val="0"/>
                <w:iCs w:val="0"/>
                <w:color w:val="auto"/>
                <w:sz w:val="21"/>
                <w:szCs w:val="21"/>
                <w:highlight w:val="none"/>
                <w:u w:val="none"/>
                <w:lang w:val="en-US"/>
              </w:rPr>
            </w:pPr>
            <w:r>
              <w:rPr>
                <w:rFonts w:hint="eastAsia" w:ascii="黑体" w:hAnsi="黑体" w:eastAsia="黑体" w:cs="黑体"/>
                <w:b w:val="0"/>
                <w:bCs w:val="0"/>
                <w:i w:val="0"/>
                <w:iCs w:val="0"/>
                <w:color w:val="auto"/>
                <w:kern w:val="0"/>
                <w:sz w:val="21"/>
                <w:szCs w:val="21"/>
                <w:highlight w:val="none"/>
                <w:u w:val="none"/>
                <w:lang w:val="en-US" w:eastAsia="zh-CN" w:bidi="ar"/>
              </w:rPr>
              <w:t>结核菌素试验</w:t>
            </w:r>
          </w:p>
        </w:tc>
        <w:tc>
          <w:tcPr>
            <w:tcW w:w="4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C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黑体" w:hAnsi="黑体" w:eastAsia="黑体" w:cs="黑体"/>
                <w:i w:val="0"/>
                <w:iCs w:val="0"/>
                <w:color w:val="auto"/>
                <w:sz w:val="21"/>
                <w:szCs w:val="21"/>
                <w:highlight w:val="none"/>
                <w:u w:val="none"/>
                <w:lang w:val="en-US"/>
              </w:rPr>
            </w:pPr>
            <w:r>
              <w:rPr>
                <w:rFonts w:hint="eastAsia" w:ascii="黑体" w:hAnsi="黑体" w:eastAsia="黑体" w:cs="黑体"/>
                <w:i w:val="0"/>
                <w:iCs w:val="0"/>
                <w:color w:val="auto"/>
                <w:kern w:val="0"/>
                <w:sz w:val="21"/>
                <w:szCs w:val="21"/>
                <w:highlight w:val="none"/>
                <w:u w:val="none"/>
                <w:lang w:val="en-US" w:eastAsia="zh-CN" w:bidi="ar"/>
              </w:rPr>
              <w:t>PPD注射皮试检测（阳性人员提供体检车上门放射DR检查，供应商具备专业体检车）</w:t>
            </w:r>
          </w:p>
        </w:tc>
        <w:tc>
          <w:tcPr>
            <w:tcW w:w="1530" w:type="dxa"/>
            <w:vMerge w:val="continue"/>
            <w:tcBorders>
              <w:left w:val="single" w:color="000000" w:sz="4" w:space="0"/>
              <w:right w:val="single" w:color="000000" w:sz="4" w:space="0"/>
            </w:tcBorders>
            <w:shd w:val="clear" w:color="auto" w:fill="auto"/>
            <w:vAlign w:val="center"/>
          </w:tcPr>
          <w:p w14:paraId="0D50A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黑体" w:hAnsi="黑体" w:eastAsia="黑体" w:cs="黑体"/>
                <w:i w:val="0"/>
                <w:iCs w:val="0"/>
                <w:color w:val="auto"/>
                <w:kern w:val="0"/>
                <w:sz w:val="24"/>
                <w:szCs w:val="24"/>
                <w:highlight w:val="none"/>
                <w:u w:val="none"/>
                <w:lang w:val="en-US" w:eastAsia="zh-CN" w:bidi="ar"/>
              </w:rPr>
            </w:pPr>
          </w:p>
        </w:tc>
      </w:tr>
      <w:tr w14:paraId="27C4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exact"/>
        </w:trPr>
        <w:tc>
          <w:tcPr>
            <w:tcW w:w="8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DF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2" w:firstLineChars="200"/>
              <w:jc w:val="left"/>
              <w:textAlignment w:val="auto"/>
              <w:rPr>
                <w:rFonts w:hint="eastAsia" w:ascii="黑体" w:hAnsi="黑体" w:eastAsia="黑体" w:cs="黑体"/>
                <w:b w:val="0"/>
                <w:bCs w:val="0"/>
                <w:color w:val="auto"/>
                <w:sz w:val="21"/>
                <w:szCs w:val="21"/>
                <w:highlight w:val="none"/>
                <w:lang w:eastAsia="zh-CN"/>
              </w:rPr>
            </w:pPr>
            <w:bookmarkStart w:id="52" w:name="_Toc12789058"/>
            <w:bookmarkStart w:id="53" w:name="_Toc9843"/>
            <w:bookmarkStart w:id="54" w:name="_Toc403569789"/>
            <w:bookmarkStart w:id="55" w:name="_Toc12789059"/>
            <w:bookmarkStart w:id="56" w:name="_Toc11641055"/>
            <w:r>
              <w:rPr>
                <w:rFonts w:hint="eastAsia" w:ascii="黑体" w:hAnsi="黑体" w:eastAsia="黑体" w:cs="黑体"/>
                <w:b/>
                <w:bCs/>
                <w:color w:val="auto"/>
                <w:sz w:val="21"/>
                <w:szCs w:val="21"/>
                <w:highlight w:val="none"/>
                <w:lang w:val="en-US" w:eastAsia="zh-CN"/>
              </w:rPr>
              <w:t>说明：</w:t>
            </w:r>
            <w:r>
              <w:rPr>
                <w:rFonts w:hint="eastAsia" w:ascii="黑体" w:hAnsi="黑体" w:eastAsia="黑体" w:cs="黑体"/>
                <w:b w:val="0"/>
                <w:bCs w:val="0"/>
                <w:color w:val="auto"/>
                <w:sz w:val="21"/>
                <w:szCs w:val="21"/>
                <w:highlight w:val="none"/>
              </w:rPr>
              <w:t>（</w:t>
            </w:r>
            <w:r>
              <w:rPr>
                <w:rFonts w:hint="eastAsia" w:ascii="黑体" w:hAnsi="黑体" w:eastAsia="黑体" w:cs="黑体"/>
                <w:b w:val="0"/>
                <w:bCs w:val="0"/>
                <w:color w:val="auto"/>
                <w:sz w:val="21"/>
                <w:szCs w:val="21"/>
                <w:highlight w:val="none"/>
                <w:lang w:val="en-US" w:eastAsia="zh-CN"/>
              </w:rPr>
              <w:t>1）</w:t>
            </w:r>
            <w:r>
              <w:rPr>
                <w:rFonts w:hint="eastAsia" w:ascii="黑体" w:hAnsi="黑体" w:eastAsia="黑体" w:cs="黑体"/>
                <w:b w:val="0"/>
                <w:bCs w:val="0"/>
                <w:color w:val="auto"/>
                <w:sz w:val="21"/>
                <w:szCs w:val="21"/>
                <w:highlight w:val="none"/>
              </w:rPr>
              <w:t>供应商按以上体检内容提供体检服务，</w:t>
            </w:r>
            <w:r>
              <w:rPr>
                <w:rFonts w:hint="eastAsia" w:ascii="黑体" w:hAnsi="黑体" w:eastAsia="黑体" w:cs="黑体"/>
                <w:b w:val="0"/>
                <w:bCs w:val="0"/>
                <w:color w:val="auto"/>
                <w:sz w:val="21"/>
                <w:szCs w:val="21"/>
                <w:highlight w:val="none"/>
                <w:lang w:eastAsia="zh-CN"/>
              </w:rPr>
              <w:t>须完成体检项目清单内的所有项目。</w:t>
            </w:r>
          </w:p>
          <w:p w14:paraId="34F45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left"/>
              <w:textAlignment w:val="auto"/>
              <w:rPr>
                <w:rFonts w:hint="eastAsia" w:ascii="黑体" w:hAnsi="黑体" w:eastAsia="黑体" w:cs="黑体"/>
                <w:i w:val="0"/>
                <w:iCs w:val="0"/>
                <w:color w:val="auto"/>
                <w:kern w:val="0"/>
                <w:sz w:val="24"/>
                <w:szCs w:val="24"/>
                <w:highlight w:val="none"/>
                <w:u w:val="none"/>
                <w:lang w:val="en-US" w:eastAsia="zh-CN" w:bidi="ar"/>
              </w:rPr>
            </w:pPr>
            <w:r>
              <w:rPr>
                <w:rFonts w:hint="eastAsia" w:ascii="黑体" w:hAnsi="黑体" w:eastAsia="黑体" w:cs="黑体"/>
                <w:b w:val="0"/>
                <w:bCs w:val="0"/>
                <w:color w:val="auto"/>
                <w:sz w:val="21"/>
                <w:szCs w:val="21"/>
                <w:highlight w:val="none"/>
                <w:lang w:eastAsia="zh-CN"/>
              </w:rPr>
              <w:t>（</w:t>
            </w:r>
            <w:r>
              <w:rPr>
                <w:rFonts w:hint="eastAsia" w:ascii="黑体" w:hAnsi="黑体" w:eastAsia="黑体" w:cs="黑体"/>
                <w:b w:val="0"/>
                <w:bCs w:val="0"/>
                <w:color w:val="auto"/>
                <w:sz w:val="21"/>
                <w:szCs w:val="21"/>
                <w:highlight w:val="none"/>
                <w:lang w:val="en-US" w:eastAsia="zh-CN"/>
              </w:rPr>
              <w:t>2</w:t>
            </w:r>
            <w:r>
              <w:rPr>
                <w:rFonts w:hint="eastAsia" w:ascii="黑体" w:hAnsi="黑体" w:eastAsia="黑体" w:cs="黑体"/>
                <w:b w:val="0"/>
                <w:bCs w:val="0"/>
                <w:color w:val="auto"/>
                <w:sz w:val="21"/>
                <w:szCs w:val="21"/>
                <w:highlight w:val="none"/>
                <w:lang w:eastAsia="zh-CN"/>
              </w:rPr>
              <w:t>）必须为</w:t>
            </w:r>
            <w:r>
              <w:rPr>
                <w:rFonts w:hint="eastAsia" w:ascii="黑体" w:hAnsi="黑体" w:eastAsia="黑体" w:cs="黑体"/>
                <w:b w:val="0"/>
                <w:bCs w:val="0"/>
                <w:color w:val="auto"/>
                <w:sz w:val="21"/>
                <w:szCs w:val="21"/>
                <w:highlight w:val="none"/>
                <w:lang w:val="en-US" w:eastAsia="zh-CN"/>
              </w:rPr>
              <w:t>学生</w:t>
            </w:r>
            <w:r>
              <w:rPr>
                <w:rFonts w:hint="eastAsia" w:ascii="黑体" w:hAnsi="黑体" w:eastAsia="黑体" w:cs="黑体"/>
                <w:b w:val="0"/>
                <w:bCs w:val="0"/>
                <w:color w:val="auto"/>
                <w:sz w:val="21"/>
                <w:szCs w:val="21"/>
                <w:highlight w:val="none"/>
                <w:lang w:eastAsia="zh-CN"/>
              </w:rPr>
              <w:t>本人体检，体检服务不得转让、不得由其他人员替代。</w:t>
            </w:r>
          </w:p>
        </w:tc>
      </w:tr>
      <w:bookmarkEnd w:id="48"/>
      <w:bookmarkEnd w:id="49"/>
      <w:bookmarkEnd w:id="51"/>
    </w:tbl>
    <w:p w14:paraId="1F4DC5CB">
      <w:pPr>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黑体" w:hAnsi="黑体" w:eastAsia="黑体" w:cs="黑体"/>
          <w:b/>
          <w:bCs/>
          <w:color w:val="auto"/>
          <w:sz w:val="24"/>
          <w:szCs w:val="24"/>
        </w:rPr>
      </w:pPr>
      <w:bookmarkStart w:id="57" w:name="_Toc8229"/>
      <w:bookmarkStart w:id="58" w:name="_Toc27794"/>
      <w:bookmarkStart w:id="59" w:name="_Toc10583"/>
      <w:r>
        <w:rPr>
          <w:rFonts w:hint="eastAsia" w:ascii="黑体" w:hAnsi="黑体" w:eastAsia="黑体" w:cs="黑体"/>
          <w:b/>
          <w:bCs/>
          <w:color w:val="auto"/>
          <w:sz w:val="24"/>
          <w:szCs w:val="24"/>
          <w:lang w:val="en-US" w:eastAsia="zh-CN"/>
        </w:rPr>
        <w:t>三</w:t>
      </w:r>
      <w:r>
        <w:rPr>
          <w:rFonts w:hint="eastAsia" w:ascii="黑体" w:hAnsi="黑体" w:eastAsia="黑体" w:cs="黑体"/>
          <w:b/>
          <w:bCs/>
          <w:color w:val="auto"/>
          <w:sz w:val="24"/>
          <w:szCs w:val="24"/>
        </w:rPr>
        <w:t>、体检相关要求</w:t>
      </w:r>
      <w:bookmarkEnd w:id="57"/>
      <w:bookmarkEnd w:id="58"/>
      <w:bookmarkEnd w:id="59"/>
    </w:p>
    <w:p w14:paraId="3AB57613">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1.</w:t>
      </w:r>
      <w:r>
        <w:rPr>
          <w:rFonts w:hint="eastAsia" w:ascii="黑体" w:hAnsi="黑体" w:eastAsia="黑体" w:cs="黑体"/>
          <w:color w:val="auto"/>
          <w:sz w:val="24"/>
          <w:szCs w:val="24"/>
          <w:lang w:eastAsia="zh-CN"/>
        </w:rPr>
        <w:t>本次体检地点为采购人单位，</w:t>
      </w:r>
      <w:r>
        <w:rPr>
          <w:rFonts w:hint="eastAsia" w:ascii="黑体" w:hAnsi="黑体" w:eastAsia="黑体" w:cs="黑体"/>
          <w:color w:val="auto"/>
          <w:sz w:val="24"/>
          <w:szCs w:val="24"/>
          <w:lang w:val="en-US" w:eastAsia="zh-CN"/>
        </w:rPr>
        <w:t>供应商</w:t>
      </w:r>
      <w:r>
        <w:rPr>
          <w:rFonts w:hint="eastAsia" w:ascii="黑体" w:hAnsi="黑体" w:eastAsia="黑体" w:cs="黑体"/>
          <w:color w:val="auto"/>
          <w:sz w:val="24"/>
          <w:szCs w:val="24"/>
        </w:rPr>
        <w:t>应成立本项目体检工作小组，并在体检场所设立体检联络办公室。</w:t>
      </w:r>
    </w:p>
    <w:p w14:paraId="48096A2D">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2.供应商</w:t>
      </w:r>
      <w:r>
        <w:rPr>
          <w:rFonts w:hint="eastAsia" w:ascii="黑体" w:hAnsi="黑体" w:eastAsia="黑体" w:cs="黑体"/>
          <w:color w:val="auto"/>
          <w:sz w:val="24"/>
          <w:szCs w:val="24"/>
        </w:rPr>
        <w:t>按学校提供的花名册，认真填写体检表及各种检验检查单，严格执行保密制度，不得向任何无关人员泄露有关体检情况和人员信息。</w:t>
      </w:r>
    </w:p>
    <w:p w14:paraId="79989041">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3.供应商提供的体检项目需符合重庆市卫计委最新规定。</w:t>
      </w:r>
    </w:p>
    <w:p w14:paraId="207D1A88">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4.涉及体检项目的仪器设备应保证质量，体检优先或体检专用。</w:t>
      </w:r>
    </w:p>
    <w:p w14:paraId="67AE4FC8">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5.在体检工作中，必须严格执行医疗常规，避免或减少差错，杜绝医疗事故，全面保证体检质量。在体检过程中，造成的一切医疗责任事故均由供应商负责。</w:t>
      </w:r>
    </w:p>
    <w:p w14:paraId="73BC808E">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6.对单项检测花费时间较长的体检项目，应增加相应的设备或合理分流，保证体检人员当日完成全套体检项目</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确保体检人员</w:t>
      </w:r>
      <w:r>
        <w:rPr>
          <w:rFonts w:hint="eastAsia" w:ascii="黑体" w:hAnsi="黑体" w:eastAsia="黑体" w:cs="黑体"/>
          <w:color w:val="auto"/>
          <w:sz w:val="24"/>
          <w:szCs w:val="24"/>
          <w:lang w:val="en-US" w:eastAsia="zh-CN"/>
        </w:rPr>
        <w:t>10日内</w:t>
      </w:r>
      <w:r>
        <w:rPr>
          <w:rFonts w:hint="eastAsia" w:ascii="黑体" w:hAnsi="黑体" w:eastAsia="黑体" w:cs="黑体"/>
          <w:color w:val="auto"/>
          <w:sz w:val="24"/>
          <w:szCs w:val="24"/>
        </w:rPr>
        <w:t>全部</w:t>
      </w:r>
      <w:r>
        <w:rPr>
          <w:rFonts w:hint="eastAsia" w:ascii="黑体" w:hAnsi="黑体" w:eastAsia="黑体" w:cs="黑体"/>
          <w:color w:val="auto"/>
          <w:sz w:val="24"/>
          <w:szCs w:val="24"/>
          <w:lang w:eastAsia="zh-CN"/>
        </w:rPr>
        <w:t>完成</w:t>
      </w:r>
      <w:r>
        <w:rPr>
          <w:rFonts w:hint="eastAsia" w:ascii="黑体" w:hAnsi="黑体" w:eastAsia="黑体" w:cs="黑体"/>
          <w:color w:val="auto"/>
          <w:sz w:val="24"/>
          <w:szCs w:val="24"/>
        </w:rPr>
        <w:t>体检项目（特殊体检项目除外）。</w:t>
      </w:r>
    </w:p>
    <w:p w14:paraId="5A100047">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7.体检中如果发现重大疾病隐患，24小时之内应告知采购人体检领导小组及当事人,以便做出及时处理。</w:t>
      </w:r>
    </w:p>
    <w:p w14:paraId="3654AA4D">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8.各种检查单,检验单应规范整齐贴在体检表中相应的位置，不得随意放置。体检中若出现体检表</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检验单</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报告单丢失，应由</w:t>
      </w:r>
      <w:r>
        <w:rPr>
          <w:rFonts w:hint="eastAsia" w:ascii="黑体" w:hAnsi="黑体" w:eastAsia="黑体" w:cs="黑体"/>
          <w:color w:val="auto"/>
          <w:sz w:val="24"/>
          <w:szCs w:val="24"/>
          <w:lang w:val="en-US" w:eastAsia="zh-CN"/>
        </w:rPr>
        <w:t>供应商</w:t>
      </w:r>
      <w:r>
        <w:rPr>
          <w:rFonts w:hint="eastAsia" w:ascii="黑体" w:hAnsi="黑体" w:eastAsia="黑体" w:cs="黑体"/>
          <w:color w:val="auto"/>
          <w:sz w:val="24"/>
          <w:szCs w:val="24"/>
        </w:rPr>
        <w:t>免费再检。</w:t>
      </w:r>
    </w:p>
    <w:p w14:paraId="3940EA54">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9.</w:t>
      </w:r>
      <w:r>
        <w:rPr>
          <w:rFonts w:hint="eastAsia" w:ascii="黑体" w:hAnsi="黑体" w:eastAsia="黑体" w:cs="黑体"/>
          <w:color w:val="auto"/>
          <w:sz w:val="24"/>
          <w:szCs w:val="24"/>
          <w:lang w:val="en-US" w:eastAsia="zh-CN"/>
        </w:rPr>
        <w:t>供应商</w:t>
      </w:r>
      <w:r>
        <w:rPr>
          <w:rFonts w:hint="eastAsia" w:ascii="黑体" w:hAnsi="黑体" w:eastAsia="黑体" w:cs="黑体"/>
          <w:color w:val="auto"/>
          <w:sz w:val="24"/>
          <w:szCs w:val="24"/>
        </w:rPr>
        <w:t>认真履行职责，如因在体检中有不负责任（如混淆检查内容或混淆体检结果等错误）,产生不良影响，导致严重后果,立即取消</w:t>
      </w:r>
      <w:r>
        <w:rPr>
          <w:rFonts w:hint="eastAsia" w:ascii="黑体" w:hAnsi="黑体" w:eastAsia="黑体" w:cs="黑体"/>
          <w:color w:val="auto"/>
          <w:sz w:val="24"/>
          <w:szCs w:val="24"/>
          <w:lang w:val="en-US" w:eastAsia="zh-CN"/>
        </w:rPr>
        <w:t>成交</w:t>
      </w:r>
      <w:r>
        <w:rPr>
          <w:rFonts w:hint="eastAsia" w:ascii="黑体" w:hAnsi="黑体" w:eastAsia="黑体" w:cs="黑体"/>
          <w:color w:val="auto"/>
          <w:sz w:val="24"/>
          <w:szCs w:val="24"/>
        </w:rPr>
        <w:t>供应商的体检资格，并在已体检总经费中扣除10%。</w:t>
      </w:r>
    </w:p>
    <w:p w14:paraId="08B90CE2">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10.</w:t>
      </w:r>
      <w:r>
        <w:rPr>
          <w:rFonts w:hint="eastAsia" w:ascii="黑体" w:hAnsi="黑体" w:eastAsia="黑体" w:cs="黑体"/>
          <w:color w:val="auto"/>
          <w:sz w:val="24"/>
          <w:szCs w:val="24"/>
          <w:lang w:val="en-US" w:eastAsia="zh-CN"/>
        </w:rPr>
        <w:t>供应商</w:t>
      </w:r>
      <w:r>
        <w:rPr>
          <w:rFonts w:hint="eastAsia" w:ascii="黑体" w:hAnsi="黑体" w:eastAsia="黑体" w:cs="黑体"/>
          <w:color w:val="auto"/>
          <w:sz w:val="24"/>
          <w:szCs w:val="24"/>
        </w:rPr>
        <w:t>要认真做好服务工作，确保体检结果客观、真实</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体检结论每人一份，一律电脑打印，以总检医生签字，体检单位盖章为准</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并</w:t>
      </w:r>
      <w:r>
        <w:rPr>
          <w:rFonts w:hint="eastAsia" w:ascii="黑体" w:hAnsi="黑体" w:eastAsia="黑体" w:cs="黑体"/>
          <w:color w:val="auto"/>
          <w:sz w:val="24"/>
          <w:szCs w:val="24"/>
        </w:rPr>
        <w:t>做好体检资料的备份（含电子件资料）送采购人存档。</w:t>
      </w:r>
    </w:p>
    <w:p w14:paraId="4120B3DB">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11.树立严格的保密意识，不得泄露健康档案中的任何个人信息和涉及健康的隐私信息。在个人体检结束后六个月之内体检项目所针对的组织器官出现不该出现的慢性重大疾病，应由</w:t>
      </w:r>
      <w:r>
        <w:rPr>
          <w:rFonts w:hint="eastAsia" w:ascii="黑体" w:hAnsi="黑体" w:eastAsia="黑体" w:cs="黑体"/>
          <w:color w:val="auto"/>
          <w:sz w:val="24"/>
          <w:szCs w:val="24"/>
          <w:lang w:val="en-US" w:eastAsia="zh-CN"/>
        </w:rPr>
        <w:t>供应商</w:t>
      </w:r>
      <w:r>
        <w:rPr>
          <w:rFonts w:hint="eastAsia" w:ascii="黑体" w:hAnsi="黑体" w:eastAsia="黑体" w:cs="黑体"/>
          <w:color w:val="auto"/>
          <w:sz w:val="24"/>
          <w:szCs w:val="24"/>
        </w:rPr>
        <w:t>负责直接向被检者解释。</w:t>
      </w:r>
    </w:p>
    <w:p w14:paraId="1FC8B30D">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rPr>
        <w:t>1</w:t>
      </w: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供应商须合理设置体检场地</w:t>
      </w:r>
      <w:r>
        <w:rPr>
          <w:rFonts w:hint="eastAsia" w:ascii="黑体" w:hAnsi="黑体" w:eastAsia="黑体" w:cs="黑体"/>
          <w:color w:val="auto"/>
          <w:sz w:val="24"/>
          <w:szCs w:val="24"/>
        </w:rPr>
        <w:t>，</w:t>
      </w:r>
      <w:r>
        <w:rPr>
          <w:rFonts w:hint="eastAsia" w:ascii="黑体" w:hAnsi="黑体" w:eastAsia="黑体" w:cs="黑体"/>
          <w:color w:val="auto"/>
          <w:sz w:val="24"/>
          <w:szCs w:val="24"/>
          <w:lang w:eastAsia="zh-CN"/>
        </w:rPr>
        <w:t>场地设置不能影响采购人正常工作开展</w:t>
      </w:r>
      <w:r>
        <w:rPr>
          <w:rFonts w:hint="eastAsia" w:ascii="黑体" w:hAnsi="黑体" w:eastAsia="黑体" w:cs="黑体"/>
          <w:color w:val="auto"/>
          <w:sz w:val="24"/>
          <w:szCs w:val="24"/>
          <w:highlight w:val="none"/>
          <w:lang w:val="en-US" w:eastAsia="zh-CN"/>
        </w:rPr>
        <w:t>。</w:t>
      </w:r>
      <w:r>
        <w:rPr>
          <w:rFonts w:hint="eastAsia" w:ascii="黑体" w:hAnsi="黑体" w:eastAsia="黑体" w:cs="黑体"/>
          <w:color w:val="auto"/>
          <w:sz w:val="24"/>
          <w:szCs w:val="24"/>
          <w:highlight w:val="yellow"/>
          <w:lang w:val="en-US" w:eastAsia="zh-CN"/>
        </w:rPr>
        <w:br w:type="textWrapping"/>
      </w:r>
      <w:r>
        <w:rPr>
          <w:rFonts w:hint="eastAsia" w:ascii="黑体" w:hAnsi="黑体" w:eastAsia="黑体" w:cs="黑体"/>
          <w:color w:val="auto"/>
          <w:sz w:val="24"/>
          <w:szCs w:val="24"/>
          <w:lang w:val="en-US" w:eastAsia="zh-CN"/>
        </w:rPr>
        <w:t xml:space="preserve">    13.若有因各种原因未能及时完成体检的学生，供应商应适时开展补检工作，确保体检率100%。</w:t>
      </w:r>
    </w:p>
    <w:p w14:paraId="265F06AB">
      <w:pPr>
        <w:pageBreakBefore w:val="0"/>
        <w:widowControl w:val="0"/>
        <w:kinsoku/>
        <w:wordWrap/>
        <w:overflowPunct/>
        <w:topLinePunct w:val="0"/>
        <w:autoSpaceDE/>
        <w:autoSpaceDN/>
        <w:bidi w:val="0"/>
        <w:spacing w:line="440" w:lineRule="exact"/>
        <w:ind w:firstLine="480" w:firstLineChars="200"/>
        <w:jc w:val="left"/>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14.体检时间根据学校工作安排由学校决定，供应商应无条件响应。</w:t>
      </w:r>
    </w:p>
    <w:p w14:paraId="7D737B15">
      <w:pPr>
        <w:pStyle w:val="3"/>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黑体" w:hAnsi="黑体" w:eastAsia="黑体" w:cs="黑体"/>
          <w:b/>
          <w:bCs/>
          <w:color w:val="auto"/>
          <w:sz w:val="24"/>
          <w:szCs w:val="24"/>
          <w:highlight w:val="none"/>
        </w:rPr>
      </w:pPr>
      <w:bookmarkStart w:id="60" w:name="_Toc3404"/>
      <w:bookmarkStart w:id="61" w:name="_Toc25249"/>
      <w:r>
        <w:rPr>
          <w:rFonts w:hint="eastAsia" w:ascii="黑体" w:hAnsi="黑体" w:eastAsia="黑体" w:cs="黑体"/>
          <w:b/>
          <w:bCs/>
          <w:color w:val="auto"/>
          <w:sz w:val="24"/>
          <w:szCs w:val="24"/>
          <w:highlight w:val="none"/>
          <w:lang w:val="en-US" w:eastAsia="zh-CN"/>
        </w:rPr>
        <w:t>四</w:t>
      </w:r>
      <w:r>
        <w:rPr>
          <w:rFonts w:hint="eastAsia" w:ascii="黑体" w:hAnsi="黑体" w:eastAsia="黑体" w:cs="黑体"/>
          <w:b/>
          <w:bCs/>
          <w:color w:val="auto"/>
          <w:sz w:val="24"/>
          <w:szCs w:val="24"/>
          <w:highlight w:val="none"/>
        </w:rPr>
        <w:t>、</w:t>
      </w:r>
      <w:r>
        <w:rPr>
          <w:rFonts w:hint="eastAsia" w:ascii="黑体" w:hAnsi="黑体" w:eastAsia="黑体" w:cs="黑体"/>
          <w:b/>
          <w:bCs/>
          <w:color w:val="auto"/>
          <w:sz w:val="24"/>
          <w:szCs w:val="24"/>
          <w:highlight w:val="none"/>
          <w:lang w:eastAsia="zh-CN"/>
        </w:rPr>
        <w:t>团队人员</w:t>
      </w:r>
      <w:r>
        <w:rPr>
          <w:rFonts w:hint="eastAsia" w:ascii="黑体" w:hAnsi="黑体" w:eastAsia="黑体" w:cs="黑体"/>
          <w:b/>
          <w:bCs/>
          <w:color w:val="auto"/>
          <w:sz w:val="24"/>
          <w:szCs w:val="24"/>
          <w:highlight w:val="none"/>
        </w:rPr>
        <w:t>要求</w:t>
      </w:r>
      <w:bookmarkEnd w:id="60"/>
      <w:bookmarkEnd w:id="61"/>
    </w:p>
    <w:p w14:paraId="71C3BD32">
      <w:pPr>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根据项目情况，成立体检服务团队，并指定一名团队人员为项目负责人，体检团队</w:t>
      </w:r>
      <w:r>
        <w:rPr>
          <w:rFonts w:hint="eastAsia" w:ascii="黑体" w:hAnsi="黑体" w:eastAsia="黑体" w:cs="黑体"/>
          <w:color w:val="auto"/>
          <w:sz w:val="24"/>
          <w:szCs w:val="24"/>
          <w:highlight w:val="none"/>
        </w:rPr>
        <w:t>检医务人员应取得卫生执业资格。需分别列出抽血和其他体检项目医务人员、现场协调人员的名单，名单包含每位医务人员的执业护士证或执业医师证、相关职称等基本情况（医师必须与其从事专业相同：如内科体检项目医师为内科专业医师、DR诊断医师为放射科专业医师、心电图诊断医师为心内科专业医师；五官科体检项目提供眼科专业或眼视光专业资质证明）；现场协调人员可为文职。（提供</w:t>
      </w:r>
      <w:r>
        <w:rPr>
          <w:rFonts w:hint="eastAsia" w:ascii="黑体" w:hAnsi="黑体" w:eastAsia="黑体" w:cs="黑体"/>
          <w:color w:val="auto"/>
          <w:sz w:val="24"/>
          <w:szCs w:val="24"/>
          <w:highlight w:val="none"/>
          <w:lang w:eastAsia="zh-CN"/>
        </w:rPr>
        <w:t>团队人员名单及</w:t>
      </w:r>
      <w:r>
        <w:rPr>
          <w:rFonts w:hint="eastAsia" w:ascii="黑体" w:hAnsi="黑体" w:eastAsia="黑体" w:cs="黑体"/>
          <w:color w:val="auto"/>
          <w:sz w:val="24"/>
          <w:szCs w:val="24"/>
          <w:highlight w:val="none"/>
        </w:rPr>
        <w:t>相关</w:t>
      </w:r>
      <w:r>
        <w:rPr>
          <w:rFonts w:hint="eastAsia" w:ascii="黑体" w:hAnsi="黑体" w:eastAsia="黑体" w:cs="黑体"/>
          <w:color w:val="auto"/>
          <w:sz w:val="24"/>
          <w:szCs w:val="24"/>
          <w:highlight w:val="none"/>
          <w:lang w:eastAsia="zh-CN"/>
        </w:rPr>
        <w:t>资格</w:t>
      </w:r>
      <w:r>
        <w:rPr>
          <w:rFonts w:hint="eastAsia" w:ascii="黑体" w:hAnsi="黑体" w:eastAsia="黑体" w:cs="黑体"/>
          <w:color w:val="auto"/>
          <w:sz w:val="24"/>
          <w:szCs w:val="24"/>
          <w:highlight w:val="none"/>
        </w:rPr>
        <w:t>证明材料复印件并加盖</w:t>
      </w:r>
      <w:r>
        <w:rPr>
          <w:rFonts w:hint="eastAsia" w:ascii="黑体" w:hAnsi="黑体" w:eastAsia="黑体" w:cs="黑体"/>
          <w:color w:val="auto"/>
          <w:sz w:val="24"/>
          <w:szCs w:val="24"/>
          <w:highlight w:val="none"/>
          <w:lang w:val="en-US" w:eastAsia="zh-CN"/>
        </w:rPr>
        <w:t>供应商</w:t>
      </w:r>
      <w:r>
        <w:rPr>
          <w:rFonts w:hint="eastAsia" w:ascii="黑体" w:hAnsi="黑体" w:eastAsia="黑体" w:cs="黑体"/>
          <w:color w:val="auto"/>
          <w:sz w:val="24"/>
          <w:szCs w:val="24"/>
          <w:highlight w:val="none"/>
        </w:rPr>
        <w:t>公</w:t>
      </w:r>
      <w:r>
        <w:rPr>
          <w:rFonts w:hint="eastAsia" w:ascii="黑体" w:hAnsi="黑体" w:eastAsia="黑体" w:cs="黑体"/>
          <w:color w:val="auto"/>
          <w:sz w:val="24"/>
          <w:szCs w:val="24"/>
          <w:highlight w:val="none"/>
          <w:lang w:eastAsia="zh-CN"/>
        </w:rPr>
        <w:t>章）</w:t>
      </w:r>
      <w:r>
        <w:rPr>
          <w:rFonts w:hint="eastAsia" w:ascii="黑体" w:hAnsi="黑体" w:eastAsia="黑体" w:cs="黑体"/>
          <w:color w:val="auto"/>
          <w:sz w:val="24"/>
          <w:szCs w:val="24"/>
          <w:highlight w:val="none"/>
          <w:lang w:eastAsia="zh-CN"/>
        </w:rPr>
        <w:br w:type="textWrapping"/>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24"/>
          <w:szCs w:val="24"/>
          <w:highlight w:val="none"/>
          <w:lang w:eastAsia="zh-CN"/>
        </w:rPr>
        <w:t>注：供应商提供的以上人员与实际服务人员必须一致，如遇特殊情况需</w:t>
      </w:r>
      <w:r>
        <w:rPr>
          <w:rFonts w:hint="eastAsia" w:ascii="黑体" w:hAnsi="黑体" w:eastAsia="黑体" w:cs="黑体"/>
          <w:color w:val="auto"/>
          <w:sz w:val="24"/>
          <w:szCs w:val="24"/>
          <w:highlight w:val="none"/>
          <w:lang w:val="en-US" w:eastAsia="zh-CN"/>
        </w:rPr>
        <w:t>进行人员更换，供应商必须按照本次人员资质要求提交采购人审核，采购人审核通过后才可更换人员，否则采购人有权追究其责任，并</w:t>
      </w:r>
      <w:r>
        <w:rPr>
          <w:rFonts w:hint="eastAsia" w:ascii="黑体" w:hAnsi="黑体" w:eastAsia="黑体" w:cs="黑体"/>
          <w:color w:val="auto"/>
          <w:sz w:val="24"/>
          <w:szCs w:val="24"/>
          <w:highlight w:val="none"/>
        </w:rPr>
        <w:t>在已体检总经费中扣除10%。</w:t>
      </w:r>
    </w:p>
    <w:p w14:paraId="73505752">
      <w:pPr>
        <w:pageBreakBefore w:val="0"/>
        <w:widowControl w:val="0"/>
        <w:kinsoku/>
        <w:wordWrap/>
        <w:overflowPunct/>
        <w:topLinePunct w:val="0"/>
        <w:autoSpaceDE/>
        <w:autoSpaceDN/>
        <w:bidi w:val="0"/>
        <w:spacing w:line="440" w:lineRule="exact"/>
        <w:jc w:val="left"/>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eastAsia="zh-CN"/>
        </w:rPr>
        <w:t>　</w:t>
      </w:r>
      <w:r>
        <w:rPr>
          <w:rFonts w:hint="eastAsia" w:ascii="黑体" w:hAnsi="黑体" w:eastAsia="黑体" w:cs="黑体"/>
          <w:b/>
          <w:bCs/>
          <w:color w:val="auto"/>
          <w:sz w:val="24"/>
          <w:szCs w:val="24"/>
          <w:highlight w:val="none"/>
          <w:lang w:val="en-US" w:eastAsia="zh-CN"/>
        </w:rPr>
        <w:t>五</w:t>
      </w:r>
      <w:r>
        <w:rPr>
          <w:rFonts w:hint="eastAsia" w:ascii="黑体" w:hAnsi="黑体" w:eastAsia="黑体" w:cs="黑体"/>
          <w:b/>
          <w:bCs/>
          <w:color w:val="auto"/>
          <w:sz w:val="24"/>
          <w:szCs w:val="24"/>
          <w:highlight w:val="none"/>
        </w:rPr>
        <w:t>、其他要求</w:t>
      </w:r>
    </w:p>
    <w:p w14:paraId="1BF699CB">
      <w:pPr>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在学校大型活动和新生军训期间（具体时间另行通知）为学生提供急救医疗及120转诊服务并派驻一名医生驻守军训现场医疗点(单独值守)。提供帮助学校的日常医疗服务、健康讲座。</w:t>
      </w:r>
    </w:p>
    <w:p w14:paraId="12A6073A">
      <w:pPr>
        <w:spacing w:line="360" w:lineRule="auto"/>
        <w:ind w:firstLine="480" w:firstLineChars="200"/>
        <w:rPr>
          <w:rFonts w:hint="eastAsia" w:ascii="仿宋" w:hAnsi="仿宋" w:eastAsia="仿宋" w:cs="仿宋"/>
          <w:color w:val="auto"/>
          <w:sz w:val="24"/>
          <w:szCs w:val="24"/>
          <w:highlight w:val="none"/>
          <w:lang w:val="en-US" w:eastAsia="zh-CN"/>
        </w:rPr>
      </w:pPr>
    </w:p>
    <w:p w14:paraId="2733C823">
      <w:pPr>
        <w:pStyle w:val="2"/>
        <w:spacing w:line="360" w:lineRule="auto"/>
        <w:jc w:val="center"/>
        <w:rPr>
          <w:rFonts w:hint="eastAsia" w:ascii="仿宋" w:hAnsi="仿宋" w:eastAsia="仿宋" w:cs="仿宋"/>
          <w:b/>
          <w:sz w:val="32"/>
          <w:szCs w:val="32"/>
        </w:rPr>
      </w:pPr>
    </w:p>
    <w:p w14:paraId="2CC54C85">
      <w:pPr>
        <w:rPr>
          <w:rFonts w:hint="eastAsia" w:ascii="仿宋" w:hAnsi="仿宋" w:eastAsia="仿宋" w:cs="仿宋"/>
          <w:b/>
          <w:sz w:val="32"/>
          <w:szCs w:val="32"/>
        </w:rPr>
      </w:pPr>
    </w:p>
    <w:p w14:paraId="54FE278F">
      <w:pPr>
        <w:rPr>
          <w:rFonts w:hint="eastAsia" w:ascii="仿宋" w:hAnsi="仿宋" w:eastAsia="仿宋" w:cs="仿宋"/>
          <w:b/>
          <w:sz w:val="32"/>
          <w:szCs w:val="32"/>
        </w:rPr>
      </w:pPr>
    </w:p>
    <w:p w14:paraId="3370A9E6">
      <w:pPr>
        <w:rPr>
          <w:rFonts w:hint="eastAsia" w:ascii="仿宋" w:hAnsi="仿宋" w:eastAsia="仿宋" w:cs="仿宋"/>
          <w:b/>
          <w:sz w:val="32"/>
          <w:szCs w:val="32"/>
        </w:rPr>
      </w:pPr>
    </w:p>
    <w:p w14:paraId="1A620F8A">
      <w:pPr>
        <w:rPr>
          <w:rFonts w:hint="eastAsia" w:ascii="仿宋" w:hAnsi="仿宋" w:eastAsia="仿宋" w:cs="仿宋"/>
          <w:b/>
          <w:sz w:val="32"/>
          <w:szCs w:val="32"/>
        </w:rPr>
      </w:pPr>
    </w:p>
    <w:p w14:paraId="2773F9A6">
      <w:pPr>
        <w:rPr>
          <w:rFonts w:hint="eastAsia" w:ascii="仿宋" w:hAnsi="仿宋" w:eastAsia="仿宋" w:cs="仿宋"/>
          <w:b/>
          <w:sz w:val="32"/>
          <w:szCs w:val="32"/>
        </w:rPr>
      </w:pPr>
    </w:p>
    <w:p w14:paraId="6220A1E9">
      <w:pPr>
        <w:rPr>
          <w:rFonts w:hint="eastAsia" w:ascii="仿宋" w:hAnsi="仿宋" w:eastAsia="仿宋" w:cs="仿宋"/>
          <w:b/>
          <w:sz w:val="32"/>
          <w:szCs w:val="32"/>
        </w:rPr>
      </w:pPr>
    </w:p>
    <w:p w14:paraId="798BAC82">
      <w:pPr>
        <w:rPr>
          <w:rFonts w:hint="eastAsia" w:ascii="仿宋" w:hAnsi="仿宋" w:eastAsia="仿宋" w:cs="仿宋"/>
          <w:b/>
          <w:sz w:val="32"/>
          <w:szCs w:val="32"/>
        </w:rPr>
      </w:pPr>
    </w:p>
    <w:p w14:paraId="2897245E">
      <w:pPr>
        <w:rPr>
          <w:rFonts w:hint="eastAsia" w:ascii="仿宋" w:hAnsi="仿宋" w:eastAsia="仿宋" w:cs="仿宋"/>
          <w:b/>
          <w:sz w:val="32"/>
          <w:szCs w:val="32"/>
        </w:rPr>
      </w:pPr>
    </w:p>
    <w:p w14:paraId="7E1F0A6C">
      <w:pPr>
        <w:rPr>
          <w:rFonts w:hint="eastAsia" w:ascii="仿宋" w:hAnsi="仿宋" w:eastAsia="仿宋" w:cs="仿宋"/>
          <w:b/>
          <w:sz w:val="32"/>
          <w:szCs w:val="32"/>
        </w:rPr>
      </w:pPr>
    </w:p>
    <w:p w14:paraId="400EE00B">
      <w:pPr>
        <w:rPr>
          <w:rFonts w:hint="eastAsia" w:ascii="仿宋" w:hAnsi="仿宋" w:eastAsia="仿宋" w:cs="仿宋"/>
          <w:b/>
          <w:sz w:val="32"/>
          <w:szCs w:val="32"/>
        </w:rPr>
      </w:pPr>
    </w:p>
    <w:p w14:paraId="3173D22C">
      <w:pPr>
        <w:rPr>
          <w:rFonts w:hint="eastAsia" w:ascii="仿宋" w:hAnsi="仿宋" w:eastAsia="仿宋" w:cs="仿宋"/>
          <w:b/>
          <w:sz w:val="32"/>
          <w:szCs w:val="32"/>
        </w:rPr>
      </w:pPr>
    </w:p>
    <w:p w14:paraId="26A7D036">
      <w:pPr>
        <w:rPr>
          <w:rFonts w:hint="eastAsia" w:ascii="仿宋" w:hAnsi="仿宋" w:eastAsia="仿宋" w:cs="仿宋"/>
          <w:b/>
          <w:sz w:val="32"/>
          <w:szCs w:val="32"/>
        </w:rPr>
      </w:pPr>
    </w:p>
    <w:p w14:paraId="47DE5849">
      <w:pPr>
        <w:rPr>
          <w:rFonts w:hint="eastAsia" w:ascii="仿宋" w:hAnsi="仿宋" w:eastAsia="仿宋" w:cs="仿宋"/>
          <w:b/>
          <w:sz w:val="32"/>
          <w:szCs w:val="32"/>
        </w:rPr>
      </w:pPr>
    </w:p>
    <w:p w14:paraId="63394FD5">
      <w:pPr>
        <w:rPr>
          <w:rFonts w:hint="eastAsia" w:ascii="仿宋" w:hAnsi="仿宋" w:eastAsia="仿宋" w:cs="仿宋"/>
          <w:b/>
          <w:sz w:val="32"/>
          <w:szCs w:val="32"/>
        </w:rPr>
      </w:pPr>
    </w:p>
    <w:p w14:paraId="10EBDB46">
      <w:pPr>
        <w:rPr>
          <w:rFonts w:hint="eastAsia" w:ascii="仿宋" w:hAnsi="仿宋" w:eastAsia="仿宋" w:cs="仿宋"/>
          <w:b/>
          <w:sz w:val="32"/>
          <w:szCs w:val="32"/>
        </w:rPr>
      </w:pPr>
    </w:p>
    <w:p w14:paraId="07618C36">
      <w:pPr>
        <w:rPr>
          <w:rFonts w:hint="eastAsia" w:ascii="仿宋" w:hAnsi="仿宋" w:eastAsia="仿宋" w:cs="仿宋"/>
          <w:b/>
          <w:sz w:val="32"/>
          <w:szCs w:val="32"/>
        </w:rPr>
      </w:pPr>
    </w:p>
    <w:p w14:paraId="0E220494">
      <w:pPr>
        <w:rPr>
          <w:rFonts w:hint="eastAsia" w:ascii="仿宋" w:hAnsi="仿宋" w:eastAsia="仿宋" w:cs="仿宋"/>
          <w:b/>
          <w:sz w:val="32"/>
          <w:szCs w:val="32"/>
        </w:rPr>
      </w:pPr>
    </w:p>
    <w:p w14:paraId="7F089C5A">
      <w:pPr>
        <w:rPr>
          <w:rFonts w:hint="eastAsia" w:ascii="仿宋" w:hAnsi="仿宋" w:eastAsia="仿宋" w:cs="仿宋"/>
          <w:b/>
          <w:sz w:val="32"/>
          <w:szCs w:val="32"/>
        </w:rPr>
      </w:pPr>
    </w:p>
    <w:p w14:paraId="238CC026">
      <w:pPr>
        <w:rPr>
          <w:rFonts w:hint="eastAsia" w:ascii="仿宋" w:hAnsi="仿宋" w:eastAsia="仿宋" w:cs="仿宋"/>
          <w:b/>
          <w:sz w:val="32"/>
          <w:szCs w:val="32"/>
        </w:rPr>
      </w:pPr>
    </w:p>
    <w:p w14:paraId="4617E6F9">
      <w:pPr>
        <w:rPr>
          <w:rFonts w:hint="eastAsia" w:ascii="仿宋" w:hAnsi="仿宋" w:eastAsia="仿宋" w:cs="仿宋"/>
          <w:b/>
          <w:sz w:val="32"/>
          <w:szCs w:val="32"/>
        </w:rPr>
      </w:pPr>
    </w:p>
    <w:p w14:paraId="6DFE9A07">
      <w:pPr>
        <w:rPr>
          <w:rFonts w:hint="eastAsia" w:ascii="仿宋" w:hAnsi="仿宋" w:eastAsia="仿宋" w:cs="仿宋"/>
          <w:b/>
          <w:sz w:val="32"/>
          <w:szCs w:val="32"/>
        </w:rPr>
      </w:pPr>
    </w:p>
    <w:p w14:paraId="4BEFCA88">
      <w:pPr>
        <w:rPr>
          <w:rFonts w:hint="eastAsia" w:ascii="仿宋" w:hAnsi="仿宋" w:eastAsia="仿宋" w:cs="仿宋"/>
          <w:b/>
          <w:sz w:val="32"/>
          <w:szCs w:val="32"/>
        </w:rPr>
      </w:pPr>
    </w:p>
    <w:p w14:paraId="17A90F99">
      <w:pPr>
        <w:pStyle w:val="2"/>
        <w:pageBreakBefore w:val="0"/>
        <w:widowControl w:val="0"/>
        <w:kinsoku/>
        <w:wordWrap/>
        <w:overflowPunct/>
        <w:topLinePunct w:val="0"/>
        <w:autoSpaceDE/>
        <w:autoSpaceDN/>
        <w:bidi w:val="0"/>
        <w:spacing w:line="440" w:lineRule="exact"/>
        <w:jc w:val="center"/>
        <w:textAlignment w:val="auto"/>
        <w:rPr>
          <w:rFonts w:hint="eastAsia" w:ascii="黑体" w:hAnsi="黑体" w:eastAsia="黑体" w:cs="黑体"/>
          <w:b/>
          <w:sz w:val="32"/>
          <w:szCs w:val="32"/>
        </w:rPr>
      </w:pPr>
      <w:r>
        <w:rPr>
          <w:rFonts w:hint="eastAsia" w:ascii="黑体" w:hAnsi="黑体" w:eastAsia="黑体" w:cs="黑体"/>
          <w:b/>
          <w:sz w:val="32"/>
          <w:szCs w:val="32"/>
        </w:rPr>
        <w:t>第三篇 项目</w:t>
      </w:r>
      <w:r>
        <w:rPr>
          <w:rFonts w:hint="eastAsia" w:ascii="黑体" w:hAnsi="黑体" w:eastAsia="黑体" w:cs="黑体"/>
          <w:b/>
          <w:sz w:val="32"/>
          <w:szCs w:val="32"/>
          <w:lang w:eastAsia="zh-CN"/>
        </w:rPr>
        <w:t>商务</w:t>
      </w:r>
      <w:r>
        <w:rPr>
          <w:rFonts w:hint="eastAsia" w:ascii="黑体" w:hAnsi="黑体" w:eastAsia="黑体" w:cs="黑体"/>
          <w:b/>
          <w:sz w:val="32"/>
          <w:szCs w:val="32"/>
        </w:rPr>
        <w:t>需求</w:t>
      </w:r>
      <w:bookmarkEnd w:id="52"/>
      <w:bookmarkEnd w:id="53"/>
      <w:bookmarkEnd w:id="54"/>
    </w:p>
    <w:p w14:paraId="1F32F8D7">
      <w:pPr>
        <w:pStyle w:val="3"/>
        <w:pageBreakBefore w:val="0"/>
        <w:widowControl w:val="0"/>
        <w:kinsoku/>
        <w:wordWrap/>
        <w:overflowPunct/>
        <w:topLinePunct w:val="0"/>
        <w:autoSpaceDE/>
        <w:autoSpaceDN/>
        <w:bidi w:val="0"/>
        <w:adjustRightInd w:val="0"/>
        <w:snapToGrid w:val="0"/>
        <w:spacing w:before="0" w:after="0" w:line="440" w:lineRule="exact"/>
        <w:jc w:val="left"/>
        <w:textAlignment w:val="auto"/>
        <w:rPr>
          <w:rFonts w:hint="eastAsia" w:ascii="黑体" w:hAnsi="黑体" w:eastAsia="黑体" w:cs="黑体"/>
          <w:sz w:val="24"/>
          <w:szCs w:val="24"/>
        </w:rPr>
      </w:pPr>
    </w:p>
    <w:p w14:paraId="76BAF6D4">
      <w:pPr>
        <w:pStyle w:val="3"/>
        <w:pageBreakBefore w:val="0"/>
        <w:widowControl w:val="0"/>
        <w:kinsoku/>
        <w:wordWrap/>
        <w:overflowPunct/>
        <w:topLinePunct w:val="0"/>
        <w:autoSpaceDE/>
        <w:autoSpaceDN/>
        <w:bidi w:val="0"/>
        <w:adjustRightInd w:val="0"/>
        <w:snapToGrid w:val="0"/>
        <w:spacing w:before="0" w:after="0" w:line="440" w:lineRule="exact"/>
        <w:ind w:firstLine="482"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服务</w:t>
      </w:r>
      <w:r>
        <w:rPr>
          <w:rFonts w:hint="eastAsia" w:ascii="黑体" w:hAnsi="黑体" w:eastAsia="黑体" w:cs="黑体"/>
          <w:sz w:val="24"/>
          <w:szCs w:val="24"/>
          <w:lang w:val="en-US" w:eastAsia="zh-CN"/>
        </w:rPr>
        <w:t>时间</w:t>
      </w:r>
      <w:r>
        <w:rPr>
          <w:rFonts w:hint="eastAsia" w:ascii="黑体" w:hAnsi="黑体" w:eastAsia="黑体" w:cs="黑体"/>
          <w:sz w:val="24"/>
          <w:szCs w:val="24"/>
          <w:lang w:eastAsia="zh-CN"/>
        </w:rPr>
        <w:t>、地点</w:t>
      </w:r>
      <w:r>
        <w:rPr>
          <w:rFonts w:hint="eastAsia" w:ascii="黑体" w:hAnsi="黑体" w:eastAsia="黑体" w:cs="黑体"/>
          <w:sz w:val="24"/>
          <w:szCs w:val="24"/>
        </w:rPr>
        <w:t>及验收方式</w:t>
      </w:r>
    </w:p>
    <w:p w14:paraId="6C1504B0">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color w:val="auto"/>
          <w:sz w:val="24"/>
          <w:szCs w:val="24"/>
          <w:highlight w:val="none"/>
          <w:lang w:eastAsia="zh-CN"/>
        </w:rPr>
      </w:pPr>
      <w:bookmarkStart w:id="62" w:name="_Toc30773"/>
      <w:bookmarkStart w:id="63" w:name="_Toc15397605"/>
      <w:bookmarkStart w:id="64" w:name="_Toc267320052"/>
      <w:bookmarkStart w:id="65" w:name="_Toc441065670"/>
      <w:bookmarkStart w:id="66" w:name="_Toc344475122"/>
      <w:r>
        <w:rPr>
          <w:rFonts w:hint="eastAsia" w:ascii="黑体" w:hAnsi="黑体" w:eastAsia="黑体" w:cs="黑体"/>
          <w:sz w:val="24"/>
          <w:szCs w:val="24"/>
          <w:lang w:eastAsia="zh-CN"/>
        </w:rPr>
        <w:t>1.服务时间：</w:t>
      </w:r>
      <w:r>
        <w:rPr>
          <w:rFonts w:hint="eastAsia" w:ascii="黑体" w:hAnsi="黑体" w:eastAsia="黑体" w:cs="黑体"/>
          <w:color w:val="auto"/>
          <w:sz w:val="24"/>
          <w:szCs w:val="24"/>
          <w:highlight w:val="none"/>
          <w:lang w:val="en-US" w:eastAsia="zh-CN"/>
        </w:rPr>
        <w:t>服务</w:t>
      </w:r>
      <w:r>
        <w:rPr>
          <w:rFonts w:hint="eastAsia" w:ascii="黑体" w:hAnsi="黑体" w:eastAsia="黑体" w:cs="黑体"/>
          <w:color w:val="auto"/>
          <w:sz w:val="24"/>
          <w:szCs w:val="24"/>
          <w:highlight w:val="none"/>
          <w:lang w:eastAsia="zh-CN"/>
        </w:rPr>
        <w:t>期限共计3年，按年签订合同，协议期满自动终止。乙方应在当年度履约服务评价结果为优的条件下方能同采购人续签下一年合同，最多不超过3年。</w:t>
      </w:r>
      <w:r>
        <w:rPr>
          <w:rFonts w:hint="eastAsia" w:ascii="黑体" w:hAnsi="黑体" w:eastAsia="黑体" w:cs="黑体"/>
          <w:color w:val="auto"/>
          <w:sz w:val="24"/>
          <w:szCs w:val="24"/>
          <w:highlight w:val="none"/>
          <w:lang w:val="en-US" w:eastAsia="zh-CN"/>
        </w:rPr>
        <w:t>具体体检时间根据学校工作安排由学校决定，供应商应无条件响应。</w:t>
      </w:r>
    </w:p>
    <w:p w14:paraId="3494FB1D">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2.服务地点：</w:t>
      </w:r>
      <w:r>
        <w:rPr>
          <w:rFonts w:hint="eastAsia" w:ascii="黑体" w:hAnsi="黑体" w:eastAsia="黑体" w:cs="黑体"/>
          <w:sz w:val="24"/>
          <w:szCs w:val="24"/>
          <w:lang w:val="en-US" w:eastAsia="zh-CN"/>
        </w:rPr>
        <w:t>重庆市轻工业学校内。</w:t>
      </w:r>
    </w:p>
    <w:p w14:paraId="20E36D5F">
      <w:pPr>
        <w:pageBreakBefore w:val="0"/>
        <w:widowControl w:val="0"/>
        <w:kinsoku/>
        <w:wordWrap/>
        <w:overflowPunct/>
        <w:topLinePunct w:val="0"/>
        <w:autoSpaceDE/>
        <w:autoSpaceDN/>
        <w:bidi w:val="0"/>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3.验收方式：由采购人自行组织验收。</w:t>
      </w:r>
    </w:p>
    <w:p w14:paraId="4FF2B7D9">
      <w:pPr>
        <w:pageBreakBefore w:val="0"/>
        <w:widowControl w:val="0"/>
        <w:kinsoku/>
        <w:wordWrap/>
        <w:overflowPunct/>
        <w:topLinePunct w:val="0"/>
        <w:autoSpaceDE/>
        <w:autoSpaceDN/>
        <w:bidi w:val="0"/>
        <w:spacing w:line="440" w:lineRule="exact"/>
        <w:ind w:firstLine="482" w:firstLineChars="200"/>
        <w:jc w:val="left"/>
        <w:textAlignment w:val="auto"/>
        <w:rPr>
          <w:rFonts w:hint="eastAsia" w:ascii="黑体" w:hAnsi="黑体" w:eastAsia="黑体" w:cs="黑体"/>
          <w:b/>
          <w:bCs/>
          <w:snapToGrid/>
          <w:kern w:val="0"/>
          <w:sz w:val="24"/>
          <w:szCs w:val="24"/>
          <w:lang w:val="en-US" w:eastAsia="zh-CN"/>
        </w:rPr>
      </w:pPr>
      <w:r>
        <w:rPr>
          <w:rFonts w:hint="eastAsia" w:ascii="黑体" w:hAnsi="黑体" w:eastAsia="黑体" w:cs="黑体"/>
          <w:b/>
          <w:bCs/>
          <w:snapToGrid/>
          <w:kern w:val="0"/>
          <w:sz w:val="24"/>
          <w:szCs w:val="24"/>
          <w:lang w:eastAsia="zh-CN"/>
        </w:rPr>
        <w:t>二、报价要求</w:t>
      </w:r>
      <w:r>
        <w:rPr>
          <w:rFonts w:hint="eastAsia" w:ascii="黑体" w:hAnsi="黑体" w:eastAsia="黑体" w:cs="黑体"/>
          <w:b/>
          <w:bCs/>
          <w:snapToGrid/>
          <w:kern w:val="0"/>
          <w:sz w:val="24"/>
          <w:szCs w:val="24"/>
          <w:lang w:val="en-US" w:eastAsia="zh-CN"/>
        </w:rPr>
        <w:t xml:space="preserve"> </w:t>
      </w:r>
    </w:p>
    <w:p w14:paraId="587BE81D">
      <w:pPr>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b/>
          <w:bCs/>
          <w:sz w:val="24"/>
          <w:szCs w:val="24"/>
        </w:rPr>
      </w:pPr>
      <w:bookmarkStart w:id="67" w:name="_Toc4595"/>
      <w:bookmarkStart w:id="68" w:name="_Toc32106"/>
      <w:bookmarkStart w:id="69" w:name="_Toc12648"/>
      <w:bookmarkStart w:id="70" w:name="_Toc23872"/>
      <w:bookmarkStart w:id="71" w:name="_Toc466546915"/>
      <w:bookmarkStart w:id="72" w:name="_Toc1765"/>
      <w:r>
        <w:rPr>
          <w:rFonts w:hint="eastAsia" w:ascii="黑体" w:hAnsi="黑体" w:eastAsia="黑体" w:cs="黑体"/>
          <w:color w:val="000000" w:themeColor="text1"/>
          <w:sz w:val="24"/>
          <w:szCs w:val="24"/>
          <w:highlight w:val="none"/>
          <w:lang w:val="en-US" w:eastAsia="zh-CN"/>
          <w14:textFill>
            <w14:solidFill>
              <w14:schemeClr w14:val="tx1"/>
            </w14:solidFill>
          </w14:textFill>
        </w:rPr>
        <w:t>本</w:t>
      </w:r>
      <w:r>
        <w:rPr>
          <w:rFonts w:hint="eastAsia" w:ascii="黑体" w:hAnsi="黑体" w:eastAsia="黑体" w:cs="黑体"/>
          <w:color w:val="000000" w:themeColor="text1"/>
          <w:sz w:val="24"/>
          <w:szCs w:val="24"/>
          <w:highlight w:val="none"/>
          <w:lang w:val="zh-CN" w:eastAsia="zh-CN"/>
          <w14:textFill>
            <w14:solidFill>
              <w14:schemeClr w14:val="tx1"/>
            </w14:solidFill>
          </w14:textFill>
        </w:rPr>
        <w:t>次报价为人民币报价，且为综合单价报价，即供应商在单价最高限价内填报综合单价报价，综合单价报价</w:t>
      </w:r>
      <w:r>
        <w:rPr>
          <w:rFonts w:hint="eastAsia" w:ascii="黑体" w:hAnsi="黑体" w:eastAsia="黑体" w:cs="黑体"/>
          <w:color w:val="000000" w:themeColor="text1"/>
          <w:sz w:val="24"/>
          <w:szCs w:val="24"/>
          <w:highlight w:val="none"/>
          <w:lang w:val="en-US" w:eastAsia="zh-CN"/>
          <w14:textFill>
            <w14:solidFill>
              <w14:schemeClr w14:val="tx1"/>
            </w14:solidFill>
          </w14:textFill>
        </w:rPr>
        <w:t>包括但不限于提供体检服务所需的人工费</w:t>
      </w:r>
      <w:r>
        <w:rPr>
          <w:rFonts w:hint="eastAsia" w:ascii="黑体" w:hAnsi="黑体" w:eastAsia="黑体" w:cs="黑体"/>
          <w:color w:val="000000" w:themeColor="text1"/>
          <w:sz w:val="24"/>
          <w:szCs w:val="24"/>
          <w:highlight w:val="none"/>
          <w:lang w:val="zh-CN" w:eastAsia="zh-CN"/>
          <w14:textFill>
            <w14:solidFill>
              <w14:schemeClr w14:val="tx1"/>
            </w14:solidFill>
          </w14:textFill>
        </w:rPr>
        <w:t>、</w:t>
      </w:r>
      <w:r>
        <w:rPr>
          <w:rFonts w:hint="eastAsia" w:ascii="黑体" w:hAnsi="黑体" w:eastAsia="黑体" w:cs="黑体"/>
          <w:color w:val="000000" w:themeColor="text1"/>
          <w:sz w:val="24"/>
          <w:szCs w:val="24"/>
          <w:highlight w:val="none"/>
          <w:lang w:val="en-US" w:eastAsia="zh-CN"/>
          <w14:textFill>
            <w14:solidFill>
              <w14:schemeClr w14:val="tx1"/>
            </w14:solidFill>
          </w14:textFill>
        </w:rPr>
        <w:t>材料费、设备费、检测费、一次性耗材、报告费、利润、税金、风险、增值服务费（如有）等供应商完整履行本合同项下的全部服务所发生及可能发生的一切费用；因成交供应商自身原因造成漏报、少报皆由其自行承担责任，采购人不再补偿。</w:t>
      </w:r>
      <w:bookmarkEnd w:id="67"/>
      <w:bookmarkEnd w:id="68"/>
      <w:bookmarkEnd w:id="69"/>
      <w:bookmarkEnd w:id="70"/>
      <w:bookmarkEnd w:id="71"/>
      <w:bookmarkEnd w:id="72"/>
      <w:bookmarkStart w:id="73" w:name="_Toc12184"/>
      <w:bookmarkStart w:id="74" w:name="_Toc106034635"/>
      <w:bookmarkStart w:id="75" w:name="_Toc122"/>
      <w:bookmarkStart w:id="76" w:name="_Toc65660344"/>
    </w:p>
    <w:bookmarkEnd w:id="73"/>
    <w:bookmarkEnd w:id="74"/>
    <w:bookmarkEnd w:id="75"/>
    <w:bookmarkEnd w:id="76"/>
    <w:p w14:paraId="7EF8953C">
      <w:pPr>
        <w:pStyle w:val="3"/>
        <w:pageBreakBefore w:val="0"/>
        <w:widowControl w:val="0"/>
        <w:kinsoku/>
        <w:wordWrap/>
        <w:overflowPunct/>
        <w:topLinePunct w:val="0"/>
        <w:autoSpaceDE/>
        <w:autoSpaceDN/>
        <w:bidi w:val="0"/>
        <w:adjustRightInd w:val="0"/>
        <w:snapToGrid w:val="0"/>
        <w:spacing w:before="0" w:after="0" w:line="440" w:lineRule="exact"/>
        <w:ind w:firstLine="482" w:firstLineChars="200"/>
        <w:jc w:val="left"/>
        <w:textAlignment w:val="auto"/>
        <w:rPr>
          <w:rFonts w:hint="eastAsia" w:ascii="黑体" w:hAnsi="黑体" w:eastAsia="黑体" w:cs="黑体"/>
          <w:sz w:val="24"/>
          <w:szCs w:val="24"/>
        </w:rPr>
      </w:pPr>
      <w:bookmarkStart w:id="77" w:name="_Toc106034636"/>
      <w:bookmarkStart w:id="78" w:name="_Toc65660345"/>
      <w:bookmarkStart w:id="79" w:name="_Toc9192"/>
      <w:bookmarkStart w:id="80" w:name="_Toc7562"/>
      <w:r>
        <w:rPr>
          <w:rFonts w:hint="eastAsia" w:ascii="黑体" w:hAnsi="黑体" w:eastAsia="黑体" w:cs="黑体"/>
          <w:sz w:val="24"/>
          <w:szCs w:val="24"/>
          <w:lang w:eastAsia="zh-CN"/>
        </w:rPr>
        <w:t>三</w:t>
      </w:r>
      <w:r>
        <w:rPr>
          <w:rFonts w:hint="eastAsia" w:ascii="黑体" w:hAnsi="黑体" w:eastAsia="黑体" w:cs="黑体"/>
          <w:sz w:val="24"/>
          <w:szCs w:val="24"/>
        </w:rPr>
        <w:t>、付款方式</w:t>
      </w:r>
      <w:bookmarkEnd w:id="77"/>
      <w:bookmarkEnd w:id="78"/>
      <w:bookmarkEnd w:id="79"/>
      <w:bookmarkEnd w:id="80"/>
    </w:p>
    <w:p w14:paraId="29BA0019">
      <w:pPr>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黑体" w:hAnsi="黑体" w:eastAsia="黑体" w:cs="黑体"/>
          <w:b w:val="0"/>
          <w:bCs w:val="0"/>
          <w:color w:val="auto"/>
          <w:sz w:val="24"/>
          <w:szCs w:val="24"/>
          <w:lang w:val="en-GB" w:eastAsia="zh-CN"/>
        </w:rPr>
      </w:pPr>
      <w:r>
        <w:rPr>
          <w:rFonts w:hint="eastAsia" w:ascii="黑体" w:hAnsi="黑体" w:eastAsia="黑体" w:cs="黑体"/>
          <w:b w:val="0"/>
          <w:bCs w:val="0"/>
          <w:color w:val="auto"/>
          <w:sz w:val="24"/>
          <w:szCs w:val="24"/>
          <w:lang w:val="en-GB" w:eastAsia="zh-CN"/>
        </w:rPr>
        <w:t>体检现场根据实际体检学生人数进行直接收取。</w:t>
      </w:r>
    </w:p>
    <w:p w14:paraId="4C47B3EB">
      <w:pPr>
        <w:pageBreakBefore w:val="0"/>
        <w:widowControl w:val="0"/>
        <w:kinsoku/>
        <w:wordWrap/>
        <w:overflowPunct/>
        <w:topLinePunct w:val="0"/>
        <w:autoSpaceDE/>
        <w:autoSpaceDN/>
        <w:bidi w:val="0"/>
        <w:adjustRightInd/>
        <w:spacing w:line="440" w:lineRule="exact"/>
        <w:ind w:firstLine="482" w:firstLineChars="200"/>
        <w:jc w:val="left"/>
        <w:textAlignment w:val="auto"/>
        <w:rPr>
          <w:rFonts w:hint="eastAsia" w:ascii="黑体" w:hAnsi="黑体" w:eastAsia="黑体" w:cs="黑体"/>
          <w:b/>
          <w:bCs/>
          <w:color w:val="auto"/>
          <w:sz w:val="24"/>
          <w:szCs w:val="24"/>
          <w:lang w:val="en-GB" w:eastAsia="zh-CN"/>
        </w:rPr>
      </w:pPr>
      <w:r>
        <w:rPr>
          <w:rFonts w:hint="eastAsia" w:ascii="黑体" w:hAnsi="黑体" w:eastAsia="黑体" w:cs="黑体"/>
          <w:b/>
          <w:bCs/>
          <w:color w:val="auto"/>
          <w:sz w:val="24"/>
          <w:szCs w:val="24"/>
          <w:lang w:val="en-GB" w:eastAsia="zh-CN"/>
        </w:rPr>
        <w:t>四、服务要求</w:t>
      </w:r>
    </w:p>
    <w:p w14:paraId="7067B2F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1.供应商</w:t>
      </w:r>
      <w:r>
        <w:rPr>
          <w:rFonts w:hint="eastAsia" w:ascii="黑体" w:hAnsi="黑体" w:eastAsia="黑体" w:cs="黑体"/>
          <w:sz w:val="24"/>
          <w:szCs w:val="24"/>
          <w:highlight w:val="none"/>
        </w:rPr>
        <w:t>在</w:t>
      </w:r>
      <w:r>
        <w:rPr>
          <w:rFonts w:hint="eastAsia" w:ascii="黑体" w:hAnsi="黑体" w:eastAsia="黑体" w:cs="黑体"/>
          <w:sz w:val="24"/>
          <w:szCs w:val="24"/>
          <w:highlight w:val="none"/>
          <w:lang w:eastAsia="zh-CN"/>
        </w:rPr>
        <w:t>开学</w:t>
      </w:r>
      <w:r>
        <w:rPr>
          <w:rFonts w:hint="eastAsia" w:ascii="黑体" w:hAnsi="黑体" w:eastAsia="黑体" w:cs="黑体"/>
          <w:sz w:val="24"/>
          <w:szCs w:val="24"/>
          <w:highlight w:val="none"/>
          <w:lang w:val="en-US" w:eastAsia="zh-CN"/>
        </w:rPr>
        <w:t>期间</w:t>
      </w:r>
      <w:r>
        <w:rPr>
          <w:rFonts w:hint="eastAsia" w:ascii="黑体" w:hAnsi="黑体" w:eastAsia="黑体" w:cs="黑体"/>
          <w:sz w:val="24"/>
          <w:szCs w:val="24"/>
          <w:highlight w:val="none"/>
          <w:lang w:eastAsia="zh-CN"/>
        </w:rPr>
        <w:t>提供学生</w:t>
      </w:r>
      <w:r>
        <w:rPr>
          <w:rFonts w:hint="eastAsia" w:ascii="黑体" w:hAnsi="黑体" w:eastAsia="黑体" w:cs="黑体"/>
          <w:sz w:val="24"/>
          <w:szCs w:val="24"/>
          <w:highlight w:val="none"/>
        </w:rPr>
        <w:t>体检服务，服务期间调动相应的检查设备和工作人员到采购人</w:t>
      </w:r>
      <w:r>
        <w:rPr>
          <w:rFonts w:hint="eastAsia" w:ascii="黑体" w:hAnsi="黑体" w:eastAsia="黑体" w:cs="黑体"/>
          <w:sz w:val="24"/>
          <w:szCs w:val="24"/>
          <w:highlight w:val="none"/>
          <w:lang w:val="en-US" w:eastAsia="zh-CN"/>
        </w:rPr>
        <w:t>单位</w:t>
      </w:r>
      <w:r>
        <w:rPr>
          <w:rFonts w:hint="eastAsia" w:ascii="黑体" w:hAnsi="黑体" w:eastAsia="黑体" w:cs="黑体"/>
          <w:sz w:val="24"/>
          <w:szCs w:val="24"/>
          <w:highlight w:val="none"/>
        </w:rPr>
        <w:t>进行体检工作。</w:t>
      </w:r>
    </w:p>
    <w:p w14:paraId="38110405">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lang w:eastAsia="zh-CN"/>
        </w:rPr>
        <w:t>学生</w:t>
      </w:r>
      <w:r>
        <w:rPr>
          <w:rFonts w:hint="eastAsia" w:ascii="黑体" w:hAnsi="黑体" w:eastAsia="黑体" w:cs="黑体"/>
          <w:sz w:val="24"/>
          <w:szCs w:val="24"/>
          <w:highlight w:val="none"/>
        </w:rPr>
        <w:t>在服务期内凭</w:t>
      </w:r>
      <w:r>
        <w:rPr>
          <w:rFonts w:hint="eastAsia" w:ascii="黑体" w:hAnsi="黑体" w:eastAsia="黑体" w:cs="黑体"/>
          <w:color w:val="auto"/>
          <w:sz w:val="24"/>
          <w:szCs w:val="24"/>
          <w:highlight w:val="none"/>
          <w:lang w:val="en-US" w:eastAsia="zh-CN"/>
        </w:rPr>
        <w:t>身份证原件</w:t>
      </w:r>
      <w:r>
        <w:rPr>
          <w:rFonts w:hint="eastAsia" w:ascii="黑体" w:hAnsi="黑体" w:eastAsia="黑体" w:cs="黑体"/>
          <w:color w:val="auto"/>
          <w:sz w:val="24"/>
          <w:szCs w:val="24"/>
          <w:highlight w:val="none"/>
        </w:rPr>
        <w:t>参加体</w:t>
      </w:r>
      <w:r>
        <w:rPr>
          <w:rFonts w:hint="eastAsia" w:ascii="黑体" w:hAnsi="黑体" w:eastAsia="黑体" w:cs="黑体"/>
          <w:sz w:val="24"/>
          <w:szCs w:val="24"/>
          <w:highlight w:val="none"/>
        </w:rPr>
        <w:t>检，</w:t>
      </w:r>
      <w:r>
        <w:rPr>
          <w:rFonts w:hint="eastAsia" w:ascii="黑体" w:hAnsi="黑体" w:eastAsia="黑体" w:cs="黑体"/>
          <w:sz w:val="24"/>
          <w:szCs w:val="24"/>
          <w:highlight w:val="none"/>
          <w:lang w:val="en-US" w:eastAsia="zh-CN"/>
        </w:rPr>
        <w:t>供应商</w:t>
      </w:r>
      <w:r>
        <w:rPr>
          <w:rFonts w:hint="eastAsia" w:ascii="黑体" w:hAnsi="黑体" w:eastAsia="黑体" w:cs="黑体"/>
          <w:sz w:val="24"/>
          <w:szCs w:val="24"/>
          <w:highlight w:val="none"/>
        </w:rPr>
        <w:t>工作人员应核对学生的基本信息，并如实将体检结果填报到学生本人的体检报告上签字确认。</w:t>
      </w:r>
    </w:p>
    <w:p w14:paraId="28BF5C57">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3.供应商</w:t>
      </w:r>
      <w:r>
        <w:rPr>
          <w:rFonts w:hint="eastAsia" w:ascii="黑体" w:hAnsi="黑体" w:eastAsia="黑体" w:cs="黑体"/>
          <w:sz w:val="24"/>
          <w:szCs w:val="24"/>
          <w:highlight w:val="none"/>
          <w:lang w:eastAsia="zh-CN"/>
        </w:rPr>
        <w:t>提供的</w:t>
      </w:r>
      <w:r>
        <w:rPr>
          <w:rFonts w:hint="eastAsia" w:ascii="黑体" w:hAnsi="黑体" w:eastAsia="黑体" w:cs="黑体"/>
          <w:sz w:val="24"/>
          <w:szCs w:val="24"/>
          <w:highlight w:val="none"/>
        </w:rPr>
        <w:t>仪器和人员等</w:t>
      </w:r>
      <w:r>
        <w:rPr>
          <w:rFonts w:hint="eastAsia" w:ascii="黑体" w:hAnsi="黑体" w:eastAsia="黑体" w:cs="黑体"/>
          <w:sz w:val="24"/>
          <w:szCs w:val="24"/>
          <w:highlight w:val="none"/>
          <w:lang w:eastAsia="zh-CN"/>
        </w:rPr>
        <w:t>相应服务均在</w:t>
      </w:r>
      <w:r>
        <w:rPr>
          <w:rFonts w:hint="eastAsia" w:ascii="黑体" w:hAnsi="黑体" w:eastAsia="黑体" w:cs="黑体"/>
          <w:color w:val="auto"/>
          <w:sz w:val="24"/>
          <w:szCs w:val="24"/>
          <w:highlight w:val="none"/>
          <w:lang w:val="en-US" w:eastAsia="zh-CN"/>
        </w:rPr>
        <w:t>采购人单位内</w:t>
      </w:r>
      <w:r>
        <w:rPr>
          <w:rFonts w:hint="eastAsia" w:ascii="黑体" w:hAnsi="黑体" w:eastAsia="黑体" w:cs="黑体"/>
          <w:color w:val="000000" w:themeColor="text1"/>
          <w:sz w:val="24"/>
          <w:szCs w:val="24"/>
          <w:highlight w:val="none"/>
          <w:lang w:val="en-US" w:eastAsia="zh-CN"/>
          <w14:textFill>
            <w14:solidFill>
              <w14:schemeClr w14:val="tx1"/>
            </w14:solidFill>
          </w14:textFill>
        </w:rPr>
        <w:t>实施</w:t>
      </w:r>
      <w:r>
        <w:rPr>
          <w:rFonts w:hint="eastAsia" w:ascii="黑体" w:hAnsi="黑体" w:eastAsia="黑体" w:cs="黑体"/>
          <w:sz w:val="24"/>
          <w:szCs w:val="24"/>
          <w:highlight w:val="none"/>
        </w:rPr>
        <w:t>，并针对采购人新生体检拟定符合采购人需求的项目实施方案。</w:t>
      </w:r>
    </w:p>
    <w:p w14:paraId="4D376F2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color w:val="auto"/>
          <w:sz w:val="24"/>
          <w:szCs w:val="24"/>
          <w:highlight w:val="none"/>
          <w:lang w:val="en-US" w:eastAsia="zh-CN"/>
        </w:rPr>
        <w:t>4.供应商</w:t>
      </w:r>
      <w:r>
        <w:rPr>
          <w:rFonts w:hint="eastAsia" w:ascii="黑体" w:hAnsi="黑体" w:eastAsia="黑体" w:cs="黑体"/>
          <w:color w:val="auto"/>
          <w:sz w:val="24"/>
          <w:szCs w:val="24"/>
          <w:highlight w:val="none"/>
        </w:rPr>
        <w:t>按院系班级将每位受检新生的体检报告装订，体检资料应全部实行数据库管理，在新生入学体检5个工作日后，将纸质报告、电子数据和总</w:t>
      </w:r>
      <w:r>
        <w:rPr>
          <w:rFonts w:hint="eastAsia" w:ascii="黑体" w:hAnsi="黑体" w:eastAsia="黑体" w:cs="黑体"/>
          <w:sz w:val="24"/>
          <w:szCs w:val="24"/>
          <w:highlight w:val="none"/>
        </w:rPr>
        <w:t>检报告及时返回到采购人。</w:t>
      </w:r>
    </w:p>
    <w:p w14:paraId="40282BF3">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5.</w:t>
      </w:r>
      <w:r>
        <w:rPr>
          <w:rFonts w:hint="eastAsia" w:ascii="黑体" w:hAnsi="黑体" w:eastAsia="黑体" w:cs="黑体"/>
          <w:sz w:val="24"/>
          <w:szCs w:val="24"/>
          <w:highlight w:val="none"/>
        </w:rPr>
        <w:t>检查中如发现有重大疾病隐患</w:t>
      </w:r>
      <w:r>
        <w:rPr>
          <w:rFonts w:hint="eastAsia" w:ascii="黑体" w:hAnsi="黑体" w:eastAsia="黑体" w:cs="黑体"/>
          <w:sz w:val="24"/>
          <w:szCs w:val="24"/>
          <w:highlight w:val="none"/>
          <w:lang w:val="en-US" w:eastAsia="zh-CN"/>
        </w:rPr>
        <w:t>的和</w:t>
      </w:r>
      <w:r>
        <w:rPr>
          <w:rFonts w:hint="eastAsia" w:ascii="黑体" w:hAnsi="黑体" w:eastAsia="黑体" w:cs="黑体"/>
          <w:sz w:val="24"/>
          <w:szCs w:val="24"/>
          <w:highlight w:val="none"/>
        </w:rPr>
        <w:t>传染性疾病的受检者应对其做更细致的检查、保留检测材料并立即告知</w:t>
      </w:r>
      <w:r>
        <w:rPr>
          <w:rFonts w:hint="eastAsia" w:ascii="黑体" w:hAnsi="黑体" w:eastAsia="黑体" w:cs="黑体"/>
          <w:sz w:val="24"/>
          <w:szCs w:val="24"/>
          <w:highlight w:val="none"/>
          <w:lang w:val="en-US" w:eastAsia="zh-CN"/>
        </w:rPr>
        <w:t>采购人</w:t>
      </w:r>
      <w:r>
        <w:rPr>
          <w:rFonts w:hint="eastAsia" w:ascii="黑体" w:hAnsi="黑体" w:eastAsia="黑体" w:cs="黑体"/>
          <w:sz w:val="24"/>
          <w:szCs w:val="24"/>
          <w:highlight w:val="none"/>
        </w:rPr>
        <w:t>相关人员</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rPr>
        <w:t>以便</w:t>
      </w:r>
      <w:r>
        <w:rPr>
          <w:rFonts w:hint="eastAsia" w:ascii="黑体" w:hAnsi="黑体" w:eastAsia="黑体" w:cs="黑体"/>
          <w:sz w:val="24"/>
          <w:szCs w:val="24"/>
          <w:highlight w:val="none"/>
          <w:lang w:val="en-US" w:eastAsia="zh-CN"/>
        </w:rPr>
        <w:t>采购人</w:t>
      </w:r>
      <w:r>
        <w:rPr>
          <w:rFonts w:hint="eastAsia" w:ascii="黑体" w:hAnsi="黑体" w:eastAsia="黑体" w:cs="黑体"/>
          <w:sz w:val="24"/>
          <w:szCs w:val="24"/>
          <w:highlight w:val="none"/>
        </w:rPr>
        <w:t>通知本人进行进一步检查或治疗。</w:t>
      </w:r>
    </w:p>
    <w:p w14:paraId="1BD725E0">
      <w:pPr>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6.供应商</w:t>
      </w:r>
      <w:r>
        <w:rPr>
          <w:rFonts w:hint="eastAsia" w:ascii="黑体" w:hAnsi="黑体" w:eastAsia="黑体" w:cs="黑体"/>
          <w:sz w:val="24"/>
          <w:szCs w:val="24"/>
          <w:highlight w:val="none"/>
        </w:rPr>
        <w:t>保证体检结果的真实性，体检原数据保存期不少于五年，如发生重大失误，采购人有权提出索赔。</w:t>
      </w:r>
    </w:p>
    <w:p w14:paraId="57923F2D">
      <w:pPr>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7.供应商</w:t>
      </w:r>
      <w:r>
        <w:rPr>
          <w:rFonts w:hint="eastAsia" w:ascii="黑体" w:hAnsi="黑体" w:eastAsia="黑体" w:cs="黑体"/>
          <w:sz w:val="24"/>
          <w:szCs w:val="24"/>
          <w:highlight w:val="none"/>
        </w:rPr>
        <w:t>在开展体检前，应主动向采购</w:t>
      </w:r>
      <w:r>
        <w:rPr>
          <w:rFonts w:hint="eastAsia" w:ascii="黑体" w:hAnsi="黑体" w:eastAsia="黑体" w:cs="黑体"/>
          <w:sz w:val="24"/>
          <w:szCs w:val="24"/>
          <w:highlight w:val="none"/>
          <w:lang w:val="en-US" w:eastAsia="zh-CN"/>
        </w:rPr>
        <w:t>人</w:t>
      </w:r>
      <w:r>
        <w:rPr>
          <w:rFonts w:hint="eastAsia" w:ascii="黑体" w:hAnsi="黑体" w:eastAsia="黑体" w:cs="黑体"/>
          <w:sz w:val="24"/>
          <w:szCs w:val="24"/>
          <w:highlight w:val="none"/>
        </w:rPr>
        <w:t>提供体检须知，以便采购</w:t>
      </w:r>
      <w:r>
        <w:rPr>
          <w:rFonts w:hint="eastAsia" w:ascii="黑体" w:hAnsi="黑体" w:eastAsia="黑体" w:cs="黑体"/>
          <w:sz w:val="24"/>
          <w:szCs w:val="24"/>
          <w:highlight w:val="none"/>
          <w:lang w:val="en-US" w:eastAsia="zh-CN"/>
        </w:rPr>
        <w:t>人</w:t>
      </w:r>
      <w:r>
        <w:rPr>
          <w:rFonts w:hint="eastAsia" w:ascii="黑体" w:hAnsi="黑体" w:eastAsia="黑体" w:cs="黑体"/>
          <w:sz w:val="24"/>
          <w:szCs w:val="24"/>
          <w:highlight w:val="none"/>
        </w:rPr>
        <w:t>做好前期统筹安排。</w:t>
      </w:r>
    </w:p>
    <w:p w14:paraId="7C90098E">
      <w:pPr>
        <w:pageBreakBefore w:val="0"/>
        <w:widowControl w:val="0"/>
        <w:kinsoku/>
        <w:wordWrap/>
        <w:overflowPunct/>
        <w:topLinePunct w:val="0"/>
        <w:autoSpaceDE/>
        <w:autoSpaceDN/>
        <w:bidi w:val="0"/>
        <w:spacing w:line="440" w:lineRule="exact"/>
        <w:ind w:firstLine="480" w:firstLineChars="200"/>
        <w:textAlignment w:val="auto"/>
        <w:rPr>
          <w:rFonts w:hint="eastAsia" w:ascii="黑体" w:hAnsi="黑体" w:eastAsia="黑体" w:cs="黑体"/>
          <w:b/>
          <w:bCs/>
          <w:color w:val="000000"/>
          <w:kern w:val="0"/>
          <w:sz w:val="24"/>
          <w:szCs w:val="24"/>
        </w:rPr>
      </w:pPr>
      <w:r>
        <w:rPr>
          <w:rFonts w:hint="eastAsia" w:ascii="黑体" w:hAnsi="黑体" w:eastAsia="黑体" w:cs="黑体"/>
          <w:sz w:val="24"/>
          <w:szCs w:val="24"/>
          <w:highlight w:val="none"/>
          <w:lang w:val="en-US" w:eastAsia="zh-CN"/>
        </w:rPr>
        <w:t>8.供应商</w:t>
      </w:r>
      <w:r>
        <w:rPr>
          <w:rFonts w:hint="eastAsia" w:ascii="黑体" w:hAnsi="黑体" w:eastAsia="黑体" w:cs="黑体"/>
          <w:sz w:val="24"/>
          <w:szCs w:val="24"/>
          <w:highlight w:val="none"/>
        </w:rPr>
        <w:t>自行安排工作人员安置体检仪器、布置体检现场，采购</w:t>
      </w:r>
      <w:r>
        <w:rPr>
          <w:rFonts w:hint="eastAsia" w:ascii="黑体" w:hAnsi="黑体" w:eastAsia="黑体" w:cs="黑体"/>
          <w:sz w:val="24"/>
          <w:szCs w:val="24"/>
          <w:highlight w:val="none"/>
          <w:lang w:val="en-US" w:eastAsia="zh-CN"/>
        </w:rPr>
        <w:t>人</w:t>
      </w:r>
      <w:r>
        <w:rPr>
          <w:rFonts w:hint="eastAsia" w:ascii="黑体" w:hAnsi="黑体" w:eastAsia="黑体" w:cs="黑体"/>
          <w:sz w:val="24"/>
          <w:szCs w:val="24"/>
          <w:highlight w:val="none"/>
        </w:rPr>
        <w:t>协助确定体检地点、电源接线点等。</w:t>
      </w:r>
    </w:p>
    <w:p w14:paraId="437884CD">
      <w:pPr>
        <w:pageBreakBefore w:val="0"/>
        <w:widowControl w:val="0"/>
        <w:kinsoku/>
        <w:wordWrap/>
        <w:overflowPunct/>
        <w:topLinePunct w:val="0"/>
        <w:autoSpaceDE/>
        <w:autoSpaceDN/>
        <w:bidi w:val="0"/>
        <w:adjustRightInd/>
        <w:spacing w:line="440" w:lineRule="exact"/>
        <w:ind w:firstLine="482" w:firstLineChars="200"/>
        <w:jc w:val="left"/>
        <w:textAlignment w:val="auto"/>
        <w:rPr>
          <w:rFonts w:hint="eastAsia" w:ascii="黑体" w:hAnsi="黑体" w:eastAsia="黑体" w:cs="黑体"/>
          <w:b/>
          <w:bCs/>
          <w:color w:val="000000"/>
          <w:sz w:val="24"/>
          <w:szCs w:val="24"/>
        </w:rPr>
      </w:pPr>
      <w:r>
        <w:rPr>
          <w:rFonts w:hint="eastAsia" w:ascii="黑体" w:hAnsi="黑体" w:eastAsia="黑体" w:cs="黑体"/>
          <w:b/>
          <w:bCs/>
          <w:color w:val="000000"/>
          <w:kern w:val="0"/>
          <w:sz w:val="24"/>
          <w:szCs w:val="24"/>
        </w:rPr>
        <w:t>五、知识产权</w:t>
      </w:r>
    </w:p>
    <w:bookmarkEnd w:id="62"/>
    <w:bookmarkEnd w:id="63"/>
    <w:bookmarkEnd w:id="64"/>
    <w:bookmarkEnd w:id="65"/>
    <w:bookmarkEnd w:id="66"/>
    <w:p w14:paraId="0695144C">
      <w:pPr>
        <w:pageBreakBefore w:val="0"/>
        <w:widowControl w:val="0"/>
        <w:kinsoku/>
        <w:wordWrap/>
        <w:overflowPunct/>
        <w:topLinePunct w:val="0"/>
        <w:autoSpaceDE/>
        <w:autoSpaceDN/>
        <w:bidi w:val="0"/>
        <w:adjustRightInd/>
        <w:snapToGrid w:val="0"/>
        <w:spacing w:line="440" w:lineRule="exact"/>
        <w:ind w:firstLine="539"/>
        <w:jc w:val="left"/>
        <w:textAlignment w:val="auto"/>
        <w:rPr>
          <w:rFonts w:hint="eastAsia" w:ascii="黑体" w:hAnsi="黑体" w:eastAsia="黑体" w:cs="黑体"/>
          <w:sz w:val="24"/>
          <w:szCs w:val="24"/>
        </w:rPr>
      </w:pPr>
      <w:r>
        <w:rPr>
          <w:rFonts w:hint="eastAsia" w:ascii="黑体" w:hAnsi="黑体" w:eastAsia="黑体" w:cs="黑体"/>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bookmarkStart w:id="81" w:name="_Toc524508145"/>
      <w:bookmarkStart w:id="82" w:name="_Toc344475125"/>
    </w:p>
    <w:p w14:paraId="44F6286E">
      <w:pPr>
        <w:keepNext w:val="0"/>
        <w:keepLines w:val="0"/>
        <w:pageBreakBefore w:val="0"/>
        <w:widowControl w:val="0"/>
        <w:kinsoku/>
        <w:wordWrap/>
        <w:overflowPunct/>
        <w:topLinePunct w:val="0"/>
        <w:autoSpaceDE/>
        <w:autoSpaceDN/>
        <w:bidi w:val="0"/>
        <w:adjustRightInd/>
        <w:snapToGrid w:val="0"/>
        <w:spacing w:line="440" w:lineRule="exact"/>
        <w:ind w:firstLine="539"/>
        <w:jc w:val="left"/>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lang w:eastAsia="zh-CN"/>
        </w:rPr>
        <w:t>六、</w:t>
      </w:r>
      <w:r>
        <w:rPr>
          <w:rFonts w:hint="eastAsia" w:ascii="黑体" w:hAnsi="黑体" w:eastAsia="黑体" w:cs="黑体"/>
          <w:b/>
          <w:bCs/>
          <w:color w:val="000000"/>
          <w:sz w:val="24"/>
          <w:szCs w:val="24"/>
        </w:rPr>
        <w:t>其他</w:t>
      </w:r>
      <w:bookmarkEnd w:id="81"/>
      <w:bookmarkEnd w:id="82"/>
    </w:p>
    <w:p w14:paraId="14D95736">
      <w:pPr>
        <w:keepNext w:val="0"/>
        <w:keepLines w:val="0"/>
        <w:pageBreakBefore w:val="0"/>
        <w:widowControl w:val="0"/>
        <w:numPr>
          <w:ilvl w:val="0"/>
          <w:numId w:val="0"/>
        </w:numPr>
        <w:shd w:val="clear"/>
        <w:kinsoku/>
        <w:wordWrap/>
        <w:overflowPunct/>
        <w:topLinePunct w:val="0"/>
        <w:autoSpaceDE/>
        <w:autoSpaceDN/>
        <w:bidi w:val="0"/>
        <w:adjustRightInd/>
        <w:snapToGrid w:val="0"/>
        <w:spacing w:line="44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供应商必须对以上条款和服务承诺明确列出，承诺内容必须达到要求。</w:t>
      </w:r>
    </w:p>
    <w:p w14:paraId="784FB3B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t>2.未经采购人同意，供应商不得将成交的项目分包、转让给其他单位。否则，采购人可随时取消其成交资格。由此给采购人造成的经济损失均由供应商自行全部承担。</w:t>
      </w:r>
    </w:p>
    <w:p w14:paraId="530824EB">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outlineLvl w:val="9"/>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3.成交供应商确定后，由采购人和成交供应商按照相关规定和程序办理有关手续，签订合同。</w:t>
      </w:r>
    </w:p>
    <w:p w14:paraId="210C01B1">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outlineLvl w:val="9"/>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4.</w:t>
      </w:r>
      <w:r>
        <w:rPr>
          <w:rFonts w:hint="eastAsia" w:ascii="黑体" w:hAnsi="黑体" w:eastAsia="黑体" w:cs="黑体"/>
          <w:color w:val="auto"/>
          <w:sz w:val="24"/>
          <w:szCs w:val="24"/>
          <w:highlight w:val="none"/>
        </w:rPr>
        <w:t>其他未尽事宜由供需双方在采购合同中详细约定。</w:t>
      </w:r>
    </w:p>
    <w:p w14:paraId="68944B0C">
      <w:pPr>
        <w:pageBreakBefore w:val="0"/>
        <w:widowControl w:val="0"/>
        <w:kinsoku/>
        <w:wordWrap/>
        <w:overflowPunct/>
        <w:topLinePunct w:val="0"/>
        <w:autoSpaceDE/>
        <w:autoSpaceDN/>
        <w:bidi w:val="0"/>
        <w:spacing w:line="500" w:lineRule="exact"/>
        <w:textAlignment w:val="auto"/>
        <w:rPr>
          <w:rFonts w:ascii="仿宋" w:hAnsi="仿宋" w:eastAsia="仿宋" w:cs="仿宋"/>
          <w:color w:val="000000"/>
          <w:sz w:val="24"/>
          <w:szCs w:val="24"/>
        </w:rPr>
      </w:pPr>
    </w:p>
    <w:p w14:paraId="18C642F8">
      <w:pPr>
        <w:pStyle w:val="38"/>
        <w:pageBreakBefore w:val="0"/>
        <w:widowControl w:val="0"/>
        <w:kinsoku/>
        <w:wordWrap/>
        <w:overflowPunct/>
        <w:topLinePunct w:val="0"/>
        <w:autoSpaceDE/>
        <w:autoSpaceDN/>
        <w:bidi w:val="0"/>
        <w:spacing w:line="500" w:lineRule="exact"/>
        <w:textAlignment w:val="auto"/>
        <w:rPr>
          <w:rFonts w:ascii="仿宋" w:hAnsi="仿宋" w:eastAsia="仿宋" w:cs="仿宋"/>
          <w:color w:val="000000"/>
          <w:sz w:val="24"/>
          <w:szCs w:val="24"/>
        </w:rPr>
      </w:pPr>
    </w:p>
    <w:p w14:paraId="4251623A">
      <w:pPr>
        <w:pageBreakBefore w:val="0"/>
        <w:widowControl w:val="0"/>
        <w:kinsoku/>
        <w:wordWrap/>
        <w:overflowPunct/>
        <w:topLinePunct w:val="0"/>
        <w:autoSpaceDE/>
        <w:autoSpaceDN/>
        <w:bidi w:val="0"/>
        <w:spacing w:line="500" w:lineRule="exact"/>
        <w:textAlignment w:val="auto"/>
        <w:rPr>
          <w:rFonts w:ascii="仿宋" w:hAnsi="仿宋" w:eastAsia="仿宋" w:cs="仿宋"/>
          <w:color w:val="000000"/>
          <w:sz w:val="24"/>
          <w:szCs w:val="24"/>
        </w:rPr>
      </w:pPr>
    </w:p>
    <w:p w14:paraId="5563C820">
      <w:pPr>
        <w:pageBreakBefore w:val="0"/>
        <w:widowControl w:val="0"/>
        <w:kinsoku/>
        <w:wordWrap/>
        <w:overflowPunct/>
        <w:topLinePunct w:val="0"/>
        <w:autoSpaceDE/>
        <w:autoSpaceDN/>
        <w:bidi w:val="0"/>
        <w:spacing w:line="500" w:lineRule="exact"/>
        <w:textAlignment w:val="auto"/>
        <w:rPr>
          <w:rFonts w:ascii="仿宋" w:hAnsi="仿宋" w:eastAsia="仿宋" w:cs="仿宋"/>
          <w:color w:val="000000"/>
          <w:sz w:val="24"/>
          <w:szCs w:val="24"/>
        </w:rPr>
        <w:sectPr>
          <w:headerReference r:id="rId13" w:type="default"/>
          <w:footerReference r:id="rId14" w:type="default"/>
          <w:pgSz w:w="11907" w:h="16840"/>
          <w:pgMar w:top="1418" w:right="1418" w:bottom="1418" w:left="1418" w:header="680" w:footer="992" w:gutter="0"/>
          <w:pgNumType w:fmt="numberInDash"/>
          <w:cols w:space="720" w:num="1"/>
          <w:docGrid w:linePitch="381" w:charSpace="0"/>
        </w:sectPr>
      </w:pPr>
    </w:p>
    <w:p w14:paraId="5A7F9B5A">
      <w:pPr>
        <w:pStyle w:val="3"/>
        <w:spacing w:before="0" w:after="0" w:line="360" w:lineRule="auto"/>
        <w:jc w:val="center"/>
        <w:rPr>
          <w:rFonts w:hint="eastAsia" w:ascii="黑体" w:hAnsi="黑体" w:eastAsia="黑体" w:cs="黑体"/>
          <w:b/>
          <w:bCs/>
          <w:sz w:val="32"/>
          <w:szCs w:val="32"/>
        </w:rPr>
      </w:pPr>
      <w:bookmarkStart w:id="83" w:name="_Toc65660349"/>
      <w:bookmarkStart w:id="84" w:name="_Toc24195"/>
      <w:bookmarkStart w:id="85" w:name="_Toc106034789"/>
      <w:bookmarkStart w:id="86" w:name="_Toc16123"/>
      <w:bookmarkStart w:id="87" w:name="_Toc31282"/>
      <w:bookmarkStart w:id="88" w:name="_Toc9361"/>
      <w:bookmarkStart w:id="89" w:name="_Toc106034641"/>
      <w:bookmarkStart w:id="90" w:name="_Toc64732012"/>
      <w:bookmarkStart w:id="91" w:name="_Toc65660350"/>
      <w:bookmarkStart w:id="92" w:name="_Toc5167"/>
      <w:bookmarkStart w:id="93" w:name="_Toc7700"/>
      <w:bookmarkStart w:id="94" w:name="_Toc27934"/>
      <w:r>
        <w:rPr>
          <w:rFonts w:hint="eastAsia" w:ascii="黑体" w:hAnsi="黑体" w:eastAsia="黑体" w:cs="黑体"/>
          <w:b/>
          <w:bCs/>
          <w:sz w:val="32"/>
          <w:szCs w:val="32"/>
        </w:rPr>
        <w:t>第四篇  采购程序、评定成交的标准、无效报价及采购终止</w:t>
      </w:r>
      <w:bookmarkEnd w:id="83"/>
      <w:bookmarkEnd w:id="84"/>
      <w:bookmarkEnd w:id="85"/>
      <w:bookmarkEnd w:id="86"/>
      <w:bookmarkEnd w:id="87"/>
    </w:p>
    <w:bookmarkEnd w:id="88"/>
    <w:bookmarkEnd w:id="89"/>
    <w:bookmarkEnd w:id="90"/>
    <w:bookmarkEnd w:id="91"/>
    <w:bookmarkEnd w:id="92"/>
    <w:p w14:paraId="4756AF06">
      <w:pPr>
        <w:pStyle w:val="3"/>
        <w:adjustRightInd w:val="0"/>
        <w:snapToGrid w:val="0"/>
        <w:spacing w:before="0" w:after="0" w:line="400" w:lineRule="exact"/>
        <w:ind w:firstLine="643" w:firstLineChars="200"/>
        <w:rPr>
          <w:rFonts w:hint="eastAsia" w:ascii="黑体" w:hAnsi="黑体" w:eastAsia="黑体" w:cs="黑体"/>
          <w:sz w:val="32"/>
          <w:szCs w:val="32"/>
        </w:rPr>
      </w:pPr>
      <w:bookmarkStart w:id="95" w:name="_Toc106034790"/>
      <w:bookmarkStart w:id="96" w:name="_Toc27932"/>
    </w:p>
    <w:p w14:paraId="4FA97086">
      <w:pPr>
        <w:pStyle w:val="3"/>
        <w:pageBreakBefore w:val="0"/>
        <w:widowControl w:val="0"/>
        <w:kinsoku/>
        <w:wordWrap/>
        <w:overflowPunct/>
        <w:topLinePunct w:val="0"/>
        <w:autoSpaceDE/>
        <w:autoSpaceDN/>
        <w:bidi w:val="0"/>
        <w:adjustRightInd w:val="0"/>
        <w:snapToGrid w:val="0"/>
        <w:spacing w:before="0" w:after="0" w:line="440" w:lineRule="exact"/>
        <w:ind w:firstLine="482" w:firstLineChars="200"/>
        <w:textAlignment w:val="auto"/>
        <w:rPr>
          <w:rFonts w:hint="eastAsia" w:ascii="黑体" w:hAnsi="黑体" w:eastAsia="黑体" w:cs="黑体"/>
          <w:sz w:val="24"/>
          <w:szCs w:val="24"/>
        </w:rPr>
      </w:pPr>
      <w:r>
        <w:rPr>
          <w:rFonts w:hint="eastAsia" w:ascii="黑体" w:hAnsi="黑体" w:eastAsia="黑体" w:cs="黑体"/>
          <w:sz w:val="24"/>
          <w:szCs w:val="24"/>
        </w:rPr>
        <w:t>一、采购程序</w:t>
      </w:r>
      <w:bookmarkEnd w:id="95"/>
      <w:bookmarkEnd w:id="96"/>
    </w:p>
    <w:p w14:paraId="19E2A6FA">
      <w:pPr>
        <w:pStyle w:val="34"/>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rPr>
        <w:t>（一）</w:t>
      </w:r>
      <w:r>
        <w:rPr>
          <w:rFonts w:hint="eastAsia" w:ascii="黑体" w:hAnsi="黑体" w:eastAsia="黑体" w:cs="黑体"/>
          <w:sz w:val="24"/>
          <w:szCs w:val="24"/>
          <w:lang w:val="en-US" w:eastAsia="zh-CN"/>
        </w:rPr>
        <w:t>询比</w:t>
      </w:r>
      <w:r>
        <w:rPr>
          <w:rFonts w:hint="eastAsia" w:ascii="黑体" w:hAnsi="黑体" w:eastAsia="黑体" w:cs="黑体"/>
          <w:sz w:val="24"/>
          <w:szCs w:val="24"/>
        </w:rPr>
        <w:t>按</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文件</w:t>
      </w:r>
      <w:r>
        <w:rPr>
          <w:rFonts w:hint="eastAsia" w:ascii="黑体" w:hAnsi="黑体" w:eastAsia="黑体" w:cs="黑体"/>
          <w:sz w:val="24"/>
          <w:szCs w:val="24"/>
        </w:rPr>
        <w:t>规定的时间和地点进行</w:t>
      </w:r>
      <w:r>
        <w:rPr>
          <w:rFonts w:hint="eastAsia" w:ascii="黑体" w:hAnsi="黑体" w:eastAsia="黑体" w:cs="黑体"/>
          <w:sz w:val="24"/>
          <w:szCs w:val="24"/>
          <w:lang w:eastAsia="zh-CN"/>
        </w:rPr>
        <w:t>。</w:t>
      </w:r>
    </w:p>
    <w:p w14:paraId="7AA1F571">
      <w:pPr>
        <w:pStyle w:val="34"/>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二）</w:t>
      </w:r>
      <w:r>
        <w:rPr>
          <w:rFonts w:hint="eastAsia" w:ascii="黑体" w:hAnsi="黑体" w:eastAsia="黑体" w:cs="黑体"/>
          <w:sz w:val="24"/>
          <w:szCs w:val="24"/>
        </w:rPr>
        <w:t>由</w:t>
      </w:r>
      <w:r>
        <w:rPr>
          <w:rFonts w:hint="eastAsia" w:ascii="黑体" w:hAnsi="黑体" w:eastAsia="黑体" w:cs="黑体"/>
          <w:sz w:val="24"/>
          <w:szCs w:val="24"/>
          <w:lang w:val="en-US" w:eastAsia="zh-CN"/>
        </w:rPr>
        <w:t>采购人依法组建的</w:t>
      </w:r>
      <w:r>
        <w:rPr>
          <w:rFonts w:hint="eastAsia" w:ascii="黑体" w:hAnsi="黑体" w:eastAsia="黑体" w:cs="黑体"/>
          <w:sz w:val="24"/>
          <w:szCs w:val="24"/>
          <w:lang w:eastAsia="zh-CN"/>
        </w:rPr>
        <w:t>询比</w:t>
      </w:r>
      <w:r>
        <w:rPr>
          <w:rFonts w:hint="eastAsia" w:ascii="黑体" w:hAnsi="黑体" w:eastAsia="黑体" w:cs="黑体"/>
          <w:sz w:val="24"/>
          <w:szCs w:val="24"/>
        </w:rPr>
        <w:t xml:space="preserve">小组对各供应商的资格条件、实质性响应等进行审查。 </w:t>
      </w:r>
    </w:p>
    <w:p w14:paraId="2A138106">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黑体" w:hAnsi="黑体" w:eastAsia="黑体" w:cs="黑体"/>
          <w:kern w:val="0"/>
          <w:sz w:val="24"/>
          <w:szCs w:val="24"/>
        </w:rPr>
      </w:pPr>
      <w:r>
        <w:rPr>
          <w:rFonts w:hint="eastAsia" w:ascii="黑体" w:hAnsi="黑体" w:eastAsia="黑体" w:cs="黑体"/>
          <w:sz w:val="24"/>
          <w:szCs w:val="24"/>
        </w:rPr>
        <w:t>1.资格性审查。依据法律法规和</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文件</w:t>
      </w:r>
      <w:r>
        <w:rPr>
          <w:rFonts w:hint="eastAsia" w:ascii="黑体" w:hAnsi="黑体" w:eastAsia="黑体" w:cs="黑体"/>
          <w:sz w:val="24"/>
          <w:szCs w:val="24"/>
        </w:rPr>
        <w:t>的规定，对响应文件中的资格证明材料等进行审查。资格性审查内容如下：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5267"/>
      </w:tblGrid>
      <w:tr w14:paraId="03A3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tcBorders>
              <w:top w:val="single" w:color="auto" w:sz="4" w:space="0"/>
              <w:left w:val="single" w:color="auto" w:sz="4" w:space="0"/>
              <w:bottom w:val="single" w:color="auto" w:sz="4" w:space="0"/>
              <w:right w:val="single" w:color="auto" w:sz="4" w:space="0"/>
            </w:tcBorders>
            <w:vAlign w:val="center"/>
          </w:tcPr>
          <w:p w14:paraId="1938D2CC">
            <w:pPr>
              <w:keepNext w:val="0"/>
              <w:keepLines w:val="0"/>
              <w:suppressLineNumbers w:val="0"/>
              <w:spacing w:before="0" w:beforeAutospacing="0" w:after="0" w:afterAutospacing="0"/>
              <w:ind w:left="0" w:right="0"/>
              <w:jc w:val="center"/>
              <w:rPr>
                <w:rFonts w:hint="eastAsia" w:ascii="黑体" w:hAnsi="黑体" w:eastAsia="黑体" w:cs="黑体"/>
                <w:b/>
                <w:kern w:val="0"/>
                <w:sz w:val="21"/>
                <w:szCs w:val="21"/>
              </w:rPr>
            </w:pPr>
            <w:r>
              <w:rPr>
                <w:rFonts w:hint="eastAsia" w:ascii="黑体" w:hAnsi="黑体" w:eastAsia="黑体" w:cs="黑体"/>
                <w:b/>
                <w:kern w:val="0"/>
                <w:sz w:val="21"/>
                <w:szCs w:val="21"/>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397DC5BB">
            <w:pPr>
              <w:keepNext w:val="0"/>
              <w:keepLines w:val="0"/>
              <w:suppressLineNumbers w:val="0"/>
              <w:spacing w:before="0" w:beforeAutospacing="0" w:after="0" w:afterAutospacing="0"/>
              <w:ind w:left="0" w:right="0"/>
              <w:jc w:val="center"/>
              <w:rPr>
                <w:rFonts w:hint="eastAsia" w:ascii="黑体" w:hAnsi="黑体" w:eastAsia="黑体" w:cs="黑体"/>
                <w:b/>
                <w:kern w:val="0"/>
                <w:sz w:val="21"/>
                <w:szCs w:val="21"/>
              </w:rPr>
            </w:pPr>
            <w:r>
              <w:rPr>
                <w:rFonts w:hint="eastAsia" w:ascii="黑体" w:hAnsi="黑体" w:eastAsia="黑体" w:cs="黑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05B79151">
            <w:pPr>
              <w:keepNext w:val="0"/>
              <w:keepLines w:val="0"/>
              <w:suppressLineNumbers w:val="0"/>
              <w:spacing w:before="0" w:beforeAutospacing="0" w:after="0" w:afterAutospacing="0"/>
              <w:ind w:left="0" w:right="0"/>
              <w:jc w:val="center"/>
              <w:rPr>
                <w:rFonts w:hint="eastAsia" w:ascii="黑体" w:hAnsi="黑体" w:eastAsia="黑体" w:cs="黑体"/>
                <w:b/>
                <w:kern w:val="0"/>
                <w:sz w:val="21"/>
                <w:szCs w:val="21"/>
              </w:rPr>
            </w:pPr>
            <w:r>
              <w:rPr>
                <w:rFonts w:hint="eastAsia" w:ascii="黑体" w:hAnsi="黑体" w:eastAsia="黑体" w:cs="黑体"/>
                <w:b/>
                <w:kern w:val="0"/>
                <w:sz w:val="21"/>
                <w:szCs w:val="21"/>
              </w:rPr>
              <w:t>检查内容</w:t>
            </w:r>
          </w:p>
        </w:tc>
      </w:tr>
      <w:tr w14:paraId="0F78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115DF90">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（一）</w:t>
            </w:r>
          </w:p>
        </w:tc>
        <w:tc>
          <w:tcPr>
            <w:tcW w:w="3544" w:type="dxa"/>
            <w:vAlign w:val="center"/>
          </w:tcPr>
          <w:p w14:paraId="6580FDAA">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1.具有独立承担民事责任的能力</w:t>
            </w:r>
          </w:p>
        </w:tc>
        <w:tc>
          <w:tcPr>
            <w:tcW w:w="5267" w:type="dxa"/>
            <w:vAlign w:val="center"/>
          </w:tcPr>
          <w:p w14:paraId="6AEF000E">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 xml:space="preserve">1.供应商法人营业执照（副本）或事业单位法人证书（副本）或个体工商户营业执照或有效的自然人身份证明或社会团体法人登记证书（提供复印件）。 </w:t>
            </w:r>
          </w:p>
          <w:p w14:paraId="6AA68F8E">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2.供应商法定代表人身份证明和法定代表人授权代表委托书。</w:t>
            </w:r>
          </w:p>
        </w:tc>
      </w:tr>
      <w:tr w14:paraId="2740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Merge w:val="continue"/>
            <w:vAlign w:val="center"/>
          </w:tcPr>
          <w:p w14:paraId="65FE4933">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c>
          <w:tcPr>
            <w:tcW w:w="3544" w:type="dxa"/>
            <w:vAlign w:val="center"/>
          </w:tcPr>
          <w:p w14:paraId="3BB1EE2E">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lang w:val="zh-CN"/>
              </w:rPr>
              <w:t>2.</w:t>
            </w:r>
            <w:r>
              <w:rPr>
                <w:rFonts w:hint="eastAsia" w:ascii="黑体" w:hAnsi="黑体" w:eastAsia="黑体" w:cs="黑体"/>
                <w:sz w:val="21"/>
                <w:szCs w:val="21"/>
              </w:rPr>
              <w:t>具有良好的商业信誉和健全的财务会计制度</w:t>
            </w:r>
          </w:p>
        </w:tc>
        <w:tc>
          <w:tcPr>
            <w:tcW w:w="5267" w:type="dxa"/>
            <w:vMerge w:val="restart"/>
            <w:vAlign w:val="center"/>
          </w:tcPr>
          <w:p w14:paraId="5FB15095">
            <w:pPr>
              <w:keepNext w:val="0"/>
              <w:keepLines w:val="0"/>
              <w:suppressLineNumbers w:val="0"/>
              <w:spacing w:before="0" w:beforeAutospacing="0" w:after="0" w:afterAutospacing="0"/>
              <w:ind w:left="0" w:right="0"/>
              <w:rPr>
                <w:rFonts w:hint="eastAsia" w:ascii="黑体" w:hAnsi="黑体" w:eastAsia="黑体" w:cs="黑体"/>
                <w:b/>
                <w:sz w:val="21"/>
                <w:szCs w:val="21"/>
              </w:rPr>
            </w:pPr>
            <w:r>
              <w:rPr>
                <w:rFonts w:hint="eastAsia" w:ascii="黑体" w:hAnsi="黑体" w:eastAsia="黑体" w:cs="黑体"/>
                <w:sz w:val="21"/>
                <w:szCs w:val="21"/>
              </w:rPr>
              <w:t>供应商提供“基本资格条件承诺函”（格式详见第七篇）</w:t>
            </w:r>
          </w:p>
        </w:tc>
      </w:tr>
      <w:tr w14:paraId="4C41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Merge w:val="continue"/>
            <w:vAlign w:val="center"/>
          </w:tcPr>
          <w:p w14:paraId="2D890FB8">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c>
          <w:tcPr>
            <w:tcW w:w="3544" w:type="dxa"/>
            <w:vAlign w:val="center"/>
          </w:tcPr>
          <w:p w14:paraId="334217D6">
            <w:pPr>
              <w:keepNext w:val="0"/>
              <w:keepLines w:val="0"/>
              <w:suppressLineNumbers w:val="0"/>
              <w:spacing w:before="0" w:beforeAutospacing="0" w:after="0" w:afterAutospacing="0"/>
              <w:ind w:left="0" w:right="0"/>
              <w:rPr>
                <w:rFonts w:hint="eastAsia" w:ascii="黑体" w:hAnsi="黑体" w:eastAsia="黑体" w:cs="黑体"/>
                <w:sz w:val="21"/>
                <w:szCs w:val="21"/>
                <w:lang w:val="zh-CN"/>
              </w:rPr>
            </w:pPr>
            <w:r>
              <w:rPr>
                <w:rFonts w:hint="eastAsia" w:ascii="黑体" w:hAnsi="黑体" w:eastAsia="黑体" w:cs="黑体"/>
                <w:sz w:val="21"/>
                <w:szCs w:val="21"/>
                <w:lang w:val="zh-CN"/>
              </w:rPr>
              <w:t>3.具有履行合同所必需的设备和专业技术能力</w:t>
            </w:r>
          </w:p>
        </w:tc>
        <w:tc>
          <w:tcPr>
            <w:tcW w:w="5267" w:type="dxa"/>
            <w:vMerge w:val="continue"/>
            <w:vAlign w:val="center"/>
          </w:tcPr>
          <w:p w14:paraId="0C14B8BB">
            <w:pPr>
              <w:keepNext w:val="0"/>
              <w:keepLines w:val="0"/>
              <w:suppressLineNumbers w:val="0"/>
              <w:spacing w:before="0" w:beforeAutospacing="0" w:after="0" w:afterAutospacing="0"/>
              <w:ind w:left="0" w:right="0"/>
              <w:rPr>
                <w:rFonts w:hint="eastAsia" w:ascii="黑体" w:hAnsi="黑体" w:eastAsia="黑体" w:cs="黑体"/>
                <w:sz w:val="21"/>
                <w:szCs w:val="21"/>
              </w:rPr>
            </w:pPr>
          </w:p>
        </w:tc>
      </w:tr>
      <w:tr w14:paraId="5F88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Merge w:val="continue"/>
            <w:vAlign w:val="center"/>
          </w:tcPr>
          <w:p w14:paraId="12AC72D4">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c>
          <w:tcPr>
            <w:tcW w:w="3544" w:type="dxa"/>
            <w:vAlign w:val="center"/>
          </w:tcPr>
          <w:p w14:paraId="34349336">
            <w:pPr>
              <w:keepNext w:val="0"/>
              <w:keepLines w:val="0"/>
              <w:suppressLineNumbers w:val="0"/>
              <w:spacing w:before="0" w:beforeAutospacing="0" w:after="0" w:afterAutospacing="0"/>
              <w:ind w:left="0" w:right="0"/>
              <w:rPr>
                <w:rFonts w:hint="eastAsia" w:ascii="黑体" w:hAnsi="黑体" w:eastAsia="黑体" w:cs="黑体"/>
                <w:sz w:val="21"/>
                <w:szCs w:val="21"/>
                <w:lang w:val="zh-CN"/>
              </w:rPr>
            </w:pPr>
            <w:r>
              <w:rPr>
                <w:rFonts w:hint="eastAsia" w:ascii="黑体" w:hAnsi="黑体" w:eastAsia="黑体" w:cs="黑体"/>
                <w:sz w:val="21"/>
                <w:szCs w:val="21"/>
                <w:lang w:val="zh-CN"/>
              </w:rPr>
              <w:t>4.有依法缴纳税收和社会保障金的良好记录</w:t>
            </w:r>
          </w:p>
        </w:tc>
        <w:tc>
          <w:tcPr>
            <w:tcW w:w="5267" w:type="dxa"/>
            <w:vMerge w:val="continue"/>
            <w:vAlign w:val="center"/>
          </w:tcPr>
          <w:p w14:paraId="1991D5D3">
            <w:pPr>
              <w:keepNext w:val="0"/>
              <w:keepLines w:val="0"/>
              <w:suppressLineNumbers w:val="0"/>
              <w:spacing w:before="0" w:beforeAutospacing="0" w:after="0" w:afterAutospacing="0"/>
              <w:ind w:left="0" w:right="0"/>
              <w:rPr>
                <w:rFonts w:hint="eastAsia" w:ascii="黑体" w:hAnsi="黑体" w:eastAsia="黑体" w:cs="黑体"/>
                <w:sz w:val="21"/>
                <w:szCs w:val="21"/>
              </w:rPr>
            </w:pPr>
          </w:p>
        </w:tc>
      </w:tr>
      <w:tr w14:paraId="7A12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Merge w:val="continue"/>
            <w:vAlign w:val="center"/>
          </w:tcPr>
          <w:p w14:paraId="76DC3B82">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c>
          <w:tcPr>
            <w:tcW w:w="3544" w:type="dxa"/>
            <w:vAlign w:val="center"/>
          </w:tcPr>
          <w:p w14:paraId="64C08BFB">
            <w:pPr>
              <w:keepNext w:val="0"/>
              <w:keepLines w:val="0"/>
              <w:suppressLineNumbers w:val="0"/>
              <w:spacing w:before="0" w:beforeAutospacing="0" w:after="0" w:afterAutospacing="0"/>
              <w:ind w:left="0" w:right="0"/>
              <w:rPr>
                <w:rFonts w:hint="eastAsia" w:ascii="黑体" w:hAnsi="黑体" w:eastAsia="黑体" w:cs="黑体"/>
                <w:sz w:val="21"/>
                <w:szCs w:val="21"/>
                <w:lang w:val="zh-CN"/>
              </w:rPr>
            </w:pPr>
            <w:r>
              <w:rPr>
                <w:rFonts w:hint="eastAsia" w:ascii="黑体" w:hAnsi="黑体" w:eastAsia="黑体" w:cs="黑体"/>
                <w:sz w:val="21"/>
                <w:szCs w:val="21"/>
              </w:rPr>
              <w:t>5.参加采购活动前三年内，在经营活动中没有重大违法记录</w:t>
            </w:r>
          </w:p>
        </w:tc>
        <w:tc>
          <w:tcPr>
            <w:tcW w:w="5267" w:type="dxa"/>
            <w:vMerge w:val="continue"/>
            <w:vAlign w:val="center"/>
          </w:tcPr>
          <w:p w14:paraId="454AC00F">
            <w:pPr>
              <w:keepNext w:val="0"/>
              <w:keepLines w:val="0"/>
              <w:suppressLineNumbers w:val="0"/>
              <w:spacing w:before="0" w:beforeAutospacing="0" w:after="0" w:afterAutospacing="0"/>
              <w:ind w:left="0" w:right="0"/>
              <w:rPr>
                <w:rFonts w:hint="eastAsia" w:ascii="黑体" w:hAnsi="黑体" w:eastAsia="黑体" w:cs="黑体"/>
                <w:b/>
                <w:sz w:val="21"/>
                <w:szCs w:val="21"/>
              </w:rPr>
            </w:pPr>
          </w:p>
        </w:tc>
      </w:tr>
      <w:tr w14:paraId="7E9E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Merge w:val="continue"/>
            <w:vAlign w:val="center"/>
          </w:tcPr>
          <w:p w14:paraId="6F7C3C68">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c>
          <w:tcPr>
            <w:tcW w:w="3544" w:type="dxa"/>
            <w:vAlign w:val="center"/>
          </w:tcPr>
          <w:p w14:paraId="7160941B">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6.法律、行政法规规定的其他条件</w:t>
            </w:r>
          </w:p>
        </w:tc>
        <w:tc>
          <w:tcPr>
            <w:tcW w:w="5267" w:type="dxa"/>
            <w:vAlign w:val="center"/>
          </w:tcPr>
          <w:p w14:paraId="74B76489">
            <w:pPr>
              <w:keepNext w:val="0"/>
              <w:keepLines w:val="0"/>
              <w:suppressLineNumbers w:val="0"/>
              <w:spacing w:before="0" w:beforeAutospacing="0" w:after="0" w:afterAutospacing="0"/>
              <w:ind w:left="0" w:right="0"/>
              <w:rPr>
                <w:rFonts w:hint="eastAsia" w:ascii="黑体" w:hAnsi="黑体" w:eastAsia="黑体" w:cs="黑体"/>
                <w:sz w:val="21"/>
                <w:szCs w:val="21"/>
              </w:rPr>
            </w:pPr>
          </w:p>
        </w:tc>
      </w:tr>
      <w:tr w14:paraId="6A2E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Align w:val="center"/>
          </w:tcPr>
          <w:p w14:paraId="41E47D5F">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c>
          <w:tcPr>
            <w:tcW w:w="3544" w:type="dxa"/>
            <w:vAlign w:val="center"/>
          </w:tcPr>
          <w:p w14:paraId="093A0316">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7.本项目的特定资格要求</w:t>
            </w:r>
          </w:p>
        </w:tc>
        <w:tc>
          <w:tcPr>
            <w:tcW w:w="5267" w:type="dxa"/>
            <w:vAlign w:val="center"/>
          </w:tcPr>
          <w:p w14:paraId="534776DF">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按第一篇“三、</w:t>
            </w:r>
            <w:r>
              <w:rPr>
                <w:rFonts w:hint="eastAsia" w:ascii="黑体" w:hAnsi="黑体" w:eastAsia="黑体" w:cs="黑体"/>
                <w:sz w:val="21"/>
                <w:szCs w:val="21"/>
                <w:lang w:eastAsia="zh-CN"/>
              </w:rPr>
              <w:t>供应商</w:t>
            </w:r>
            <w:r>
              <w:rPr>
                <w:rFonts w:hint="eastAsia" w:ascii="黑体" w:hAnsi="黑体" w:eastAsia="黑体" w:cs="黑体"/>
                <w:sz w:val="21"/>
                <w:szCs w:val="21"/>
              </w:rPr>
              <w:t>资格要求（三）本项目的特定资格要求”的要求提交（如果有）。</w:t>
            </w:r>
          </w:p>
        </w:tc>
      </w:tr>
      <w:tr w14:paraId="2CB9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17" w:type="dxa"/>
            <w:vAlign w:val="center"/>
          </w:tcPr>
          <w:p w14:paraId="0B98F935">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sz w:val="21"/>
                <w:szCs w:val="21"/>
              </w:rPr>
              <w:t>（二）</w:t>
            </w:r>
          </w:p>
        </w:tc>
        <w:tc>
          <w:tcPr>
            <w:tcW w:w="3544" w:type="dxa"/>
            <w:vAlign w:val="center"/>
          </w:tcPr>
          <w:p w14:paraId="0F2ACFA8">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落实政府采购政策需满足的资格要求</w:t>
            </w:r>
          </w:p>
        </w:tc>
        <w:tc>
          <w:tcPr>
            <w:tcW w:w="5267" w:type="dxa"/>
            <w:vAlign w:val="center"/>
          </w:tcPr>
          <w:p w14:paraId="73E0938A">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按第一篇“三、</w:t>
            </w:r>
            <w:r>
              <w:rPr>
                <w:rFonts w:hint="eastAsia" w:ascii="黑体" w:hAnsi="黑体" w:eastAsia="黑体" w:cs="黑体"/>
                <w:sz w:val="21"/>
                <w:szCs w:val="21"/>
                <w:lang w:eastAsia="zh-CN"/>
              </w:rPr>
              <w:t>供应同</w:t>
            </w:r>
            <w:r>
              <w:rPr>
                <w:rFonts w:hint="eastAsia" w:ascii="黑体" w:hAnsi="黑体" w:eastAsia="黑体" w:cs="黑体"/>
                <w:sz w:val="21"/>
                <w:szCs w:val="21"/>
              </w:rPr>
              <w:t>资格要求（二）落实政府采购政策需满足的资格要求”的要求提交（如果有）。</w:t>
            </w:r>
          </w:p>
        </w:tc>
      </w:tr>
    </w:tbl>
    <w:p w14:paraId="5D2E6F3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kern w:val="0"/>
          <w:sz w:val="24"/>
          <w:szCs w:val="24"/>
        </w:rPr>
      </w:pPr>
      <w:r>
        <w:rPr>
          <w:rFonts w:hint="eastAsia" w:ascii="黑体" w:hAnsi="黑体" w:eastAsia="黑体" w:cs="黑体"/>
          <w:kern w:val="0"/>
          <w:sz w:val="24"/>
          <w:szCs w:val="24"/>
        </w:rPr>
        <w:t>注：</w:t>
      </w:r>
      <w:r>
        <w:rPr>
          <w:rFonts w:hint="eastAsia" w:ascii="黑体" w:hAnsi="黑体" w:eastAsia="黑体" w:cs="黑体"/>
          <w:kern w:val="0"/>
          <w:sz w:val="24"/>
          <w:szCs w:val="24"/>
        </w:rPr>
        <w:fldChar w:fldCharType="begin"/>
      </w:r>
      <w:r>
        <w:rPr>
          <w:rFonts w:hint="eastAsia" w:ascii="黑体" w:hAnsi="黑体" w:eastAsia="黑体" w:cs="黑体"/>
          <w:kern w:val="0"/>
          <w:sz w:val="24"/>
          <w:szCs w:val="24"/>
        </w:rPr>
        <w:instrText xml:space="preserve"> eq \o\ac(</w:instrText>
      </w:r>
      <w:r>
        <w:rPr>
          <w:rFonts w:hint="eastAsia" w:ascii="黑体" w:hAnsi="黑体" w:eastAsia="黑体" w:cs="黑体"/>
          <w:kern w:val="0"/>
          <w:position w:val="-4"/>
          <w:sz w:val="36"/>
          <w:szCs w:val="24"/>
        </w:rPr>
        <w:instrText xml:space="preserve">○</w:instrText>
      </w:r>
      <w:r>
        <w:rPr>
          <w:rFonts w:hint="eastAsia" w:ascii="黑体" w:hAnsi="黑体" w:eastAsia="黑体" w:cs="黑体"/>
          <w:kern w:val="0"/>
          <w:position w:val="0"/>
          <w:sz w:val="24"/>
          <w:szCs w:val="24"/>
        </w:rPr>
        <w:instrText xml:space="preserve">,1)</w:instrText>
      </w:r>
      <w:r>
        <w:rPr>
          <w:rFonts w:hint="eastAsia" w:ascii="黑体" w:hAnsi="黑体" w:eastAsia="黑体" w:cs="黑体"/>
          <w:kern w:val="0"/>
          <w:sz w:val="24"/>
          <w:szCs w:val="24"/>
        </w:rPr>
        <w:fldChar w:fldCharType="end"/>
      </w:r>
      <w:r>
        <w:rPr>
          <w:rFonts w:hint="eastAsia" w:ascii="黑体" w:hAnsi="黑体" w:eastAsia="黑体" w:cs="黑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C14F98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实质性响应审查。</w:t>
      </w:r>
      <w:r>
        <w:rPr>
          <w:rFonts w:hint="eastAsia" w:ascii="黑体" w:hAnsi="黑体" w:eastAsia="黑体" w:cs="黑体"/>
          <w:color w:val="auto"/>
          <w:kern w:val="0"/>
          <w:sz w:val="24"/>
          <w:szCs w:val="24"/>
        </w:rPr>
        <w:t>依据</w:t>
      </w:r>
      <w:r>
        <w:rPr>
          <w:rFonts w:hint="eastAsia" w:ascii="黑体" w:hAnsi="黑体" w:eastAsia="黑体" w:cs="黑体"/>
          <w:color w:val="auto"/>
          <w:kern w:val="0"/>
          <w:sz w:val="24"/>
          <w:szCs w:val="24"/>
          <w:lang w:val="en-US" w:eastAsia="zh-CN"/>
        </w:rPr>
        <w:t>询比</w:t>
      </w:r>
      <w:r>
        <w:rPr>
          <w:rFonts w:hint="eastAsia" w:ascii="黑体" w:hAnsi="黑体" w:eastAsia="黑体" w:cs="黑体"/>
          <w:color w:val="auto"/>
          <w:kern w:val="0"/>
          <w:sz w:val="24"/>
          <w:szCs w:val="24"/>
        </w:rPr>
        <w:t>文件的规定，从响应文件的有效性、完整性和对</w:t>
      </w:r>
      <w:r>
        <w:rPr>
          <w:rFonts w:hint="eastAsia" w:ascii="黑体" w:hAnsi="黑体" w:eastAsia="黑体" w:cs="黑体"/>
          <w:color w:val="auto"/>
          <w:kern w:val="0"/>
          <w:sz w:val="24"/>
          <w:szCs w:val="24"/>
          <w:lang w:eastAsia="zh-CN"/>
        </w:rPr>
        <w:t>询比</w:t>
      </w:r>
      <w:r>
        <w:rPr>
          <w:rFonts w:hint="eastAsia" w:ascii="黑体" w:hAnsi="黑体" w:eastAsia="黑体" w:cs="黑体"/>
          <w:color w:val="auto"/>
          <w:kern w:val="0"/>
          <w:sz w:val="24"/>
          <w:szCs w:val="24"/>
        </w:rPr>
        <w:t>文件的响应程度进行审查，以确定是否对</w:t>
      </w:r>
      <w:r>
        <w:rPr>
          <w:rFonts w:hint="eastAsia" w:ascii="黑体" w:hAnsi="黑体" w:eastAsia="黑体" w:cs="黑体"/>
          <w:color w:val="auto"/>
          <w:kern w:val="0"/>
          <w:sz w:val="24"/>
          <w:szCs w:val="24"/>
          <w:lang w:eastAsia="zh-CN"/>
        </w:rPr>
        <w:t>询比</w:t>
      </w:r>
      <w:r>
        <w:rPr>
          <w:rFonts w:hint="eastAsia" w:ascii="黑体" w:hAnsi="黑体" w:eastAsia="黑体" w:cs="黑体"/>
          <w:color w:val="auto"/>
          <w:kern w:val="0"/>
          <w:sz w:val="24"/>
          <w:szCs w:val="24"/>
        </w:rPr>
        <w:t>文件的实质性要求作出响应。符合性检查资料表如下</w:t>
      </w:r>
      <w:r>
        <w:rPr>
          <w:rFonts w:hint="eastAsia" w:ascii="黑体" w:hAnsi="黑体" w:eastAsia="黑体" w:cs="黑体"/>
          <w:sz w:val="24"/>
          <w:szCs w:val="24"/>
        </w:rPr>
        <w:t>：</w:t>
      </w:r>
    </w:p>
    <w:tbl>
      <w:tblPr>
        <w:tblStyle w:val="5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80"/>
        <w:gridCol w:w="2510"/>
        <w:gridCol w:w="4683"/>
      </w:tblGrid>
      <w:tr w14:paraId="3431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noWrap w:val="0"/>
            <w:vAlign w:val="center"/>
          </w:tcPr>
          <w:p w14:paraId="6B9FF72C">
            <w:pPr>
              <w:keepNext w:val="0"/>
              <w:keepLines w:val="0"/>
              <w:suppressLineNumbers w:val="0"/>
              <w:spacing w:before="0" w:beforeAutospacing="0" w:after="0" w:afterAutospacing="0"/>
              <w:ind w:left="0" w:right="0"/>
              <w:jc w:val="center"/>
              <w:rPr>
                <w:rFonts w:hint="eastAsia" w:ascii="黑体" w:hAnsi="黑体" w:eastAsia="黑体" w:cs="黑体"/>
                <w:b/>
                <w:kern w:val="0"/>
                <w:sz w:val="21"/>
                <w:szCs w:val="21"/>
              </w:rPr>
            </w:pPr>
            <w:r>
              <w:rPr>
                <w:rFonts w:hint="eastAsia" w:ascii="黑体" w:hAnsi="黑体" w:eastAsia="黑体" w:cs="黑体"/>
                <w:b/>
                <w:kern w:val="0"/>
                <w:sz w:val="21"/>
                <w:szCs w:val="21"/>
              </w:rPr>
              <w:t>序号</w:t>
            </w:r>
          </w:p>
        </w:tc>
        <w:tc>
          <w:tcPr>
            <w:tcW w:w="3890" w:type="dxa"/>
            <w:gridSpan w:val="2"/>
            <w:noWrap w:val="0"/>
            <w:vAlign w:val="center"/>
          </w:tcPr>
          <w:p w14:paraId="0F325E44">
            <w:pPr>
              <w:keepNext w:val="0"/>
              <w:keepLines w:val="0"/>
              <w:suppressLineNumbers w:val="0"/>
              <w:spacing w:before="0" w:beforeAutospacing="0" w:after="0" w:afterAutospacing="0"/>
              <w:ind w:left="0" w:right="0"/>
              <w:jc w:val="center"/>
              <w:rPr>
                <w:rFonts w:hint="eastAsia" w:ascii="黑体" w:hAnsi="黑体" w:eastAsia="黑体" w:cs="黑体"/>
                <w:b/>
                <w:kern w:val="0"/>
                <w:sz w:val="21"/>
                <w:szCs w:val="21"/>
              </w:rPr>
            </w:pPr>
            <w:r>
              <w:rPr>
                <w:rFonts w:hint="eastAsia" w:ascii="黑体" w:hAnsi="黑体" w:eastAsia="黑体" w:cs="黑体"/>
                <w:b/>
                <w:kern w:val="0"/>
                <w:sz w:val="21"/>
                <w:szCs w:val="21"/>
              </w:rPr>
              <w:t>审查因素</w:t>
            </w:r>
          </w:p>
        </w:tc>
        <w:tc>
          <w:tcPr>
            <w:tcW w:w="4683" w:type="dxa"/>
            <w:noWrap w:val="0"/>
            <w:vAlign w:val="center"/>
          </w:tcPr>
          <w:p w14:paraId="62920AC4">
            <w:pPr>
              <w:keepNext w:val="0"/>
              <w:keepLines w:val="0"/>
              <w:suppressLineNumbers w:val="0"/>
              <w:spacing w:before="0" w:beforeAutospacing="0" w:after="0" w:afterAutospacing="0"/>
              <w:ind w:left="0" w:right="0"/>
              <w:jc w:val="center"/>
              <w:rPr>
                <w:rFonts w:hint="eastAsia" w:ascii="黑体" w:hAnsi="黑体" w:eastAsia="黑体" w:cs="黑体"/>
                <w:b/>
                <w:kern w:val="0"/>
                <w:sz w:val="21"/>
                <w:szCs w:val="21"/>
              </w:rPr>
            </w:pPr>
            <w:r>
              <w:rPr>
                <w:rFonts w:hint="eastAsia" w:ascii="黑体" w:hAnsi="黑体" w:eastAsia="黑体" w:cs="黑体"/>
                <w:b/>
                <w:kern w:val="0"/>
                <w:sz w:val="21"/>
                <w:szCs w:val="21"/>
              </w:rPr>
              <w:t>审查标准</w:t>
            </w:r>
          </w:p>
        </w:tc>
      </w:tr>
      <w:tr w14:paraId="0949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vMerge w:val="restart"/>
            <w:noWrap w:val="0"/>
            <w:vAlign w:val="center"/>
          </w:tcPr>
          <w:p w14:paraId="2116164E">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r>
              <w:rPr>
                <w:rFonts w:hint="eastAsia" w:ascii="黑体" w:hAnsi="黑体" w:eastAsia="黑体" w:cs="黑体"/>
                <w:kern w:val="0"/>
                <w:sz w:val="21"/>
                <w:szCs w:val="21"/>
              </w:rPr>
              <w:t>1</w:t>
            </w:r>
          </w:p>
        </w:tc>
        <w:tc>
          <w:tcPr>
            <w:tcW w:w="1380" w:type="dxa"/>
            <w:vMerge w:val="restart"/>
            <w:noWrap w:val="0"/>
            <w:vAlign w:val="center"/>
          </w:tcPr>
          <w:p w14:paraId="449CE43A">
            <w:pPr>
              <w:keepNext w:val="0"/>
              <w:keepLines w:val="0"/>
              <w:suppressLineNumbers w:val="0"/>
              <w:spacing w:before="0" w:beforeAutospacing="0" w:after="0" w:afterAutospacing="0"/>
              <w:ind w:left="0" w:right="0"/>
              <w:rPr>
                <w:rFonts w:hint="eastAsia" w:ascii="黑体" w:hAnsi="黑体" w:eastAsia="黑体" w:cs="黑体"/>
                <w:sz w:val="21"/>
                <w:szCs w:val="21"/>
                <w:lang w:eastAsia="zh-CN"/>
              </w:rPr>
            </w:pPr>
            <w:r>
              <w:rPr>
                <w:rFonts w:hint="eastAsia" w:ascii="黑体" w:hAnsi="黑体" w:eastAsia="黑体" w:cs="黑体"/>
                <w:sz w:val="21"/>
                <w:szCs w:val="21"/>
                <w:lang w:eastAsia="zh-CN"/>
              </w:rPr>
              <w:t>有效性审查</w:t>
            </w:r>
          </w:p>
        </w:tc>
        <w:tc>
          <w:tcPr>
            <w:tcW w:w="2510" w:type="dxa"/>
            <w:noWrap w:val="0"/>
            <w:vAlign w:val="center"/>
          </w:tcPr>
          <w:p w14:paraId="5F813EB5">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sz w:val="21"/>
                <w:szCs w:val="21"/>
              </w:rPr>
              <w:t>响应文件签署或盖章</w:t>
            </w:r>
          </w:p>
        </w:tc>
        <w:tc>
          <w:tcPr>
            <w:tcW w:w="4683" w:type="dxa"/>
            <w:noWrap w:val="0"/>
            <w:vAlign w:val="center"/>
          </w:tcPr>
          <w:p w14:paraId="08D72B98">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sz w:val="21"/>
                <w:szCs w:val="21"/>
              </w:rPr>
              <w:t>按“第七篇响应文件格式要求”要求签署或盖章</w:t>
            </w:r>
          </w:p>
        </w:tc>
      </w:tr>
      <w:tr w14:paraId="3220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vMerge w:val="continue"/>
            <w:noWrap w:val="0"/>
            <w:vAlign w:val="center"/>
          </w:tcPr>
          <w:p w14:paraId="0898E4A5">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p>
        </w:tc>
        <w:tc>
          <w:tcPr>
            <w:tcW w:w="1380" w:type="dxa"/>
            <w:vMerge w:val="continue"/>
            <w:noWrap w:val="0"/>
            <w:vAlign w:val="center"/>
          </w:tcPr>
          <w:p w14:paraId="3C646313">
            <w:pPr>
              <w:keepNext w:val="0"/>
              <w:keepLines w:val="0"/>
              <w:suppressLineNumbers w:val="0"/>
              <w:spacing w:before="0" w:beforeAutospacing="0" w:after="0" w:afterAutospacing="0"/>
              <w:ind w:left="0" w:right="0"/>
              <w:rPr>
                <w:rFonts w:hint="eastAsia" w:ascii="黑体" w:hAnsi="黑体" w:eastAsia="黑体" w:cs="黑体"/>
                <w:sz w:val="21"/>
                <w:szCs w:val="21"/>
              </w:rPr>
            </w:pPr>
          </w:p>
        </w:tc>
        <w:tc>
          <w:tcPr>
            <w:tcW w:w="2510" w:type="dxa"/>
            <w:noWrap w:val="0"/>
            <w:vAlign w:val="center"/>
          </w:tcPr>
          <w:p w14:paraId="25DCCAD9">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法定代表人身份证明及授权委托书</w:t>
            </w:r>
          </w:p>
        </w:tc>
        <w:tc>
          <w:tcPr>
            <w:tcW w:w="4683" w:type="dxa"/>
            <w:noWrap w:val="0"/>
            <w:vAlign w:val="center"/>
          </w:tcPr>
          <w:p w14:paraId="7B2CAC19">
            <w:pPr>
              <w:keepNext w:val="0"/>
              <w:keepLines w:val="0"/>
              <w:suppressLineNumbers w:val="0"/>
              <w:spacing w:before="0" w:beforeAutospacing="0" w:after="0" w:afterAutospacing="0"/>
              <w:ind w:left="0" w:right="0"/>
              <w:rPr>
                <w:rFonts w:hint="eastAsia" w:ascii="黑体" w:hAnsi="黑体" w:eastAsia="黑体" w:cs="黑体"/>
                <w:sz w:val="21"/>
                <w:szCs w:val="21"/>
              </w:rPr>
            </w:pPr>
            <w:r>
              <w:rPr>
                <w:rFonts w:hint="eastAsia" w:ascii="黑体" w:hAnsi="黑体" w:eastAsia="黑体" w:cs="黑体"/>
                <w:sz w:val="21"/>
                <w:szCs w:val="21"/>
              </w:rPr>
              <w:t>法定代表人身份证明及授权委托书有效，符合</w:t>
            </w:r>
            <w:r>
              <w:rPr>
                <w:rFonts w:hint="eastAsia" w:ascii="黑体" w:hAnsi="黑体" w:eastAsia="黑体" w:cs="黑体"/>
                <w:sz w:val="21"/>
                <w:szCs w:val="21"/>
                <w:lang w:eastAsia="zh-CN"/>
              </w:rPr>
              <w:t>询比文件</w:t>
            </w:r>
            <w:r>
              <w:rPr>
                <w:rFonts w:hint="eastAsia" w:ascii="黑体" w:hAnsi="黑体" w:eastAsia="黑体" w:cs="黑体"/>
                <w:sz w:val="21"/>
                <w:szCs w:val="21"/>
              </w:rPr>
              <w:t>规定的格式，签署或盖章齐全。</w:t>
            </w:r>
          </w:p>
        </w:tc>
      </w:tr>
      <w:tr w14:paraId="057B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vMerge w:val="continue"/>
            <w:noWrap w:val="0"/>
            <w:vAlign w:val="center"/>
          </w:tcPr>
          <w:p w14:paraId="5FB312CD">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p>
        </w:tc>
        <w:tc>
          <w:tcPr>
            <w:tcW w:w="1380" w:type="dxa"/>
            <w:vMerge w:val="continue"/>
            <w:noWrap w:val="0"/>
            <w:vAlign w:val="center"/>
          </w:tcPr>
          <w:p w14:paraId="54B49AE2">
            <w:pPr>
              <w:keepNext w:val="0"/>
              <w:keepLines w:val="0"/>
              <w:suppressLineNumbers w:val="0"/>
              <w:spacing w:before="0" w:beforeAutospacing="0" w:after="0" w:afterAutospacing="0"/>
              <w:ind w:left="0" w:right="0"/>
              <w:rPr>
                <w:rFonts w:hint="eastAsia" w:ascii="黑体" w:hAnsi="黑体" w:eastAsia="黑体" w:cs="黑体"/>
                <w:sz w:val="21"/>
                <w:szCs w:val="21"/>
              </w:rPr>
            </w:pPr>
          </w:p>
        </w:tc>
        <w:tc>
          <w:tcPr>
            <w:tcW w:w="2510" w:type="dxa"/>
            <w:noWrap w:val="0"/>
            <w:vAlign w:val="center"/>
          </w:tcPr>
          <w:p w14:paraId="6E5F8608">
            <w:pPr>
              <w:keepNext w:val="0"/>
              <w:keepLines w:val="0"/>
              <w:suppressLineNumbers w:val="0"/>
              <w:spacing w:before="0" w:beforeAutospacing="0" w:after="0" w:afterAutospacing="0"/>
              <w:ind w:left="0" w:right="0"/>
              <w:rPr>
                <w:rFonts w:hint="eastAsia" w:ascii="黑体" w:hAnsi="黑体" w:eastAsia="黑体" w:cs="黑体"/>
                <w:sz w:val="21"/>
                <w:szCs w:val="21"/>
                <w:lang w:val="zh-CN"/>
              </w:rPr>
            </w:pPr>
            <w:r>
              <w:rPr>
                <w:rFonts w:hint="eastAsia" w:ascii="黑体" w:hAnsi="黑体" w:eastAsia="黑体" w:cs="黑体"/>
                <w:sz w:val="21"/>
                <w:szCs w:val="21"/>
              </w:rPr>
              <w:t>响应</w:t>
            </w:r>
            <w:r>
              <w:rPr>
                <w:rFonts w:hint="eastAsia" w:ascii="黑体" w:hAnsi="黑体" w:eastAsia="黑体" w:cs="黑体"/>
                <w:sz w:val="21"/>
                <w:szCs w:val="21"/>
                <w:lang w:val="zh-CN"/>
              </w:rPr>
              <w:t>方案</w:t>
            </w:r>
          </w:p>
        </w:tc>
        <w:tc>
          <w:tcPr>
            <w:tcW w:w="4683" w:type="dxa"/>
            <w:noWrap w:val="0"/>
            <w:vAlign w:val="center"/>
          </w:tcPr>
          <w:p w14:paraId="77D7820C">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sz w:val="21"/>
                <w:szCs w:val="21"/>
                <w:lang w:val="zh-CN"/>
              </w:rPr>
              <w:t>只能有一个</w:t>
            </w:r>
            <w:r>
              <w:rPr>
                <w:rFonts w:hint="eastAsia" w:ascii="黑体" w:hAnsi="黑体" w:eastAsia="黑体" w:cs="黑体"/>
                <w:sz w:val="21"/>
                <w:szCs w:val="21"/>
              </w:rPr>
              <w:t>响应</w:t>
            </w:r>
            <w:r>
              <w:rPr>
                <w:rFonts w:hint="eastAsia" w:ascii="黑体" w:hAnsi="黑体" w:eastAsia="黑体" w:cs="黑体"/>
                <w:sz w:val="21"/>
                <w:szCs w:val="21"/>
                <w:lang w:val="zh-CN"/>
              </w:rPr>
              <w:t>方案。</w:t>
            </w:r>
          </w:p>
        </w:tc>
      </w:tr>
      <w:tr w14:paraId="06E8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vMerge w:val="continue"/>
            <w:noWrap w:val="0"/>
            <w:vAlign w:val="center"/>
          </w:tcPr>
          <w:p w14:paraId="3AF9DACB">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p>
        </w:tc>
        <w:tc>
          <w:tcPr>
            <w:tcW w:w="1380" w:type="dxa"/>
            <w:vMerge w:val="continue"/>
            <w:noWrap w:val="0"/>
            <w:vAlign w:val="center"/>
          </w:tcPr>
          <w:p w14:paraId="2F98DD5C">
            <w:pPr>
              <w:keepNext w:val="0"/>
              <w:keepLines w:val="0"/>
              <w:suppressLineNumbers w:val="0"/>
              <w:spacing w:before="0" w:beforeAutospacing="0" w:after="0" w:afterAutospacing="0"/>
              <w:ind w:left="0" w:right="0"/>
              <w:rPr>
                <w:rFonts w:hint="eastAsia" w:ascii="黑体" w:hAnsi="黑体" w:eastAsia="黑体" w:cs="黑体"/>
                <w:sz w:val="21"/>
                <w:szCs w:val="21"/>
              </w:rPr>
            </w:pPr>
          </w:p>
        </w:tc>
        <w:tc>
          <w:tcPr>
            <w:tcW w:w="2510" w:type="dxa"/>
            <w:noWrap w:val="0"/>
            <w:vAlign w:val="center"/>
          </w:tcPr>
          <w:p w14:paraId="1A908E30">
            <w:pPr>
              <w:keepNext w:val="0"/>
              <w:keepLines w:val="0"/>
              <w:suppressLineNumbers w:val="0"/>
              <w:spacing w:before="0" w:beforeAutospacing="0" w:after="0" w:afterAutospacing="0"/>
              <w:ind w:left="0" w:right="0"/>
              <w:rPr>
                <w:rFonts w:hint="eastAsia" w:ascii="黑体" w:hAnsi="黑体" w:eastAsia="黑体" w:cs="黑体"/>
                <w:sz w:val="21"/>
                <w:szCs w:val="21"/>
                <w:lang w:val="zh-CN"/>
              </w:rPr>
            </w:pPr>
            <w:r>
              <w:rPr>
                <w:rFonts w:hint="eastAsia" w:ascii="黑体" w:hAnsi="黑体" w:eastAsia="黑体" w:cs="黑体"/>
                <w:sz w:val="21"/>
                <w:szCs w:val="21"/>
              </w:rPr>
              <w:t>报价唯一</w:t>
            </w:r>
          </w:p>
        </w:tc>
        <w:tc>
          <w:tcPr>
            <w:tcW w:w="4683" w:type="dxa"/>
            <w:noWrap w:val="0"/>
            <w:vAlign w:val="center"/>
          </w:tcPr>
          <w:p w14:paraId="6D928CEB">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sz w:val="21"/>
                <w:szCs w:val="21"/>
              </w:rPr>
              <w:t>只能有一个有效报价，不得提交选择性报价。</w:t>
            </w:r>
          </w:p>
        </w:tc>
      </w:tr>
      <w:tr w14:paraId="3381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noWrap w:val="0"/>
            <w:vAlign w:val="center"/>
          </w:tcPr>
          <w:p w14:paraId="42A518B6">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r>
              <w:rPr>
                <w:rFonts w:hint="eastAsia" w:ascii="黑体" w:hAnsi="黑体" w:eastAsia="黑体" w:cs="黑体"/>
                <w:kern w:val="0"/>
                <w:sz w:val="21"/>
                <w:szCs w:val="21"/>
              </w:rPr>
              <w:t>2</w:t>
            </w:r>
          </w:p>
        </w:tc>
        <w:tc>
          <w:tcPr>
            <w:tcW w:w="1380" w:type="dxa"/>
            <w:noWrap w:val="0"/>
            <w:vAlign w:val="center"/>
          </w:tcPr>
          <w:p w14:paraId="66E645F2">
            <w:pPr>
              <w:keepNext w:val="0"/>
              <w:keepLines w:val="0"/>
              <w:suppressLineNumbers w:val="0"/>
              <w:spacing w:before="0" w:beforeAutospacing="0" w:after="0" w:afterAutospacing="0"/>
              <w:ind w:left="0" w:right="0"/>
              <w:rPr>
                <w:rFonts w:hint="eastAsia" w:ascii="黑体" w:hAnsi="黑体" w:eastAsia="黑体" w:cs="黑体"/>
                <w:sz w:val="21"/>
                <w:szCs w:val="21"/>
                <w:lang w:eastAsia="zh-CN"/>
              </w:rPr>
            </w:pPr>
            <w:r>
              <w:rPr>
                <w:rFonts w:hint="eastAsia" w:ascii="黑体" w:hAnsi="黑体" w:eastAsia="黑体" w:cs="黑体"/>
                <w:sz w:val="21"/>
                <w:szCs w:val="21"/>
                <w:lang w:eastAsia="zh-CN"/>
              </w:rPr>
              <w:t>完整性审查</w:t>
            </w:r>
          </w:p>
        </w:tc>
        <w:tc>
          <w:tcPr>
            <w:tcW w:w="2510" w:type="dxa"/>
            <w:noWrap w:val="0"/>
            <w:vAlign w:val="center"/>
          </w:tcPr>
          <w:p w14:paraId="53EEAB0F">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sz w:val="21"/>
                <w:szCs w:val="21"/>
              </w:rPr>
              <w:t>响应文件</w:t>
            </w:r>
            <w:r>
              <w:rPr>
                <w:rFonts w:hint="eastAsia" w:ascii="黑体" w:hAnsi="黑体" w:eastAsia="黑体" w:cs="黑体"/>
                <w:sz w:val="21"/>
                <w:szCs w:val="21"/>
                <w:lang w:val="zh-CN"/>
              </w:rPr>
              <w:t>份数</w:t>
            </w:r>
          </w:p>
        </w:tc>
        <w:tc>
          <w:tcPr>
            <w:tcW w:w="4683" w:type="dxa"/>
            <w:noWrap w:val="0"/>
            <w:vAlign w:val="center"/>
          </w:tcPr>
          <w:p w14:paraId="5191F82A">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sz w:val="21"/>
                <w:szCs w:val="21"/>
              </w:rPr>
              <w:t>响应文件</w:t>
            </w:r>
            <w:r>
              <w:rPr>
                <w:rFonts w:hint="eastAsia" w:ascii="黑体" w:hAnsi="黑体" w:eastAsia="黑体" w:cs="黑体"/>
                <w:sz w:val="21"/>
                <w:szCs w:val="21"/>
                <w:lang w:val="zh-CN"/>
              </w:rPr>
              <w:t>正、副本数量（含电子文档）符合</w:t>
            </w:r>
            <w:r>
              <w:rPr>
                <w:rFonts w:hint="eastAsia" w:ascii="黑体" w:hAnsi="黑体" w:eastAsia="黑体" w:cs="黑体"/>
                <w:sz w:val="21"/>
                <w:szCs w:val="21"/>
                <w:lang w:eastAsia="zh-CN"/>
              </w:rPr>
              <w:t>询比文件</w:t>
            </w:r>
            <w:r>
              <w:rPr>
                <w:rFonts w:hint="eastAsia" w:ascii="黑体" w:hAnsi="黑体" w:eastAsia="黑体" w:cs="黑体"/>
                <w:sz w:val="21"/>
                <w:szCs w:val="21"/>
                <w:lang w:val="zh-CN"/>
              </w:rPr>
              <w:t>要求。</w:t>
            </w:r>
          </w:p>
        </w:tc>
      </w:tr>
      <w:tr w14:paraId="130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vMerge w:val="restart"/>
            <w:noWrap w:val="0"/>
            <w:vAlign w:val="center"/>
          </w:tcPr>
          <w:p w14:paraId="34384AA9">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r>
              <w:rPr>
                <w:rFonts w:hint="eastAsia" w:ascii="黑体" w:hAnsi="黑体" w:eastAsia="黑体" w:cs="黑体"/>
                <w:kern w:val="0"/>
                <w:sz w:val="21"/>
                <w:szCs w:val="21"/>
              </w:rPr>
              <w:t>3</w:t>
            </w:r>
          </w:p>
        </w:tc>
        <w:tc>
          <w:tcPr>
            <w:tcW w:w="1380" w:type="dxa"/>
            <w:vMerge w:val="restart"/>
            <w:noWrap w:val="0"/>
            <w:vAlign w:val="center"/>
          </w:tcPr>
          <w:p w14:paraId="2AC2721F">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color w:val="auto"/>
                <w:kern w:val="0"/>
                <w:sz w:val="21"/>
                <w:szCs w:val="21"/>
                <w:lang w:eastAsia="zh-CN"/>
              </w:rPr>
              <w:t>询比</w:t>
            </w:r>
            <w:r>
              <w:rPr>
                <w:rFonts w:hint="eastAsia" w:ascii="黑体" w:hAnsi="黑体" w:eastAsia="黑体" w:cs="黑体"/>
                <w:color w:val="auto"/>
                <w:kern w:val="0"/>
                <w:sz w:val="21"/>
                <w:szCs w:val="21"/>
              </w:rPr>
              <w:t>文件的响应程度审查</w:t>
            </w:r>
          </w:p>
        </w:tc>
        <w:tc>
          <w:tcPr>
            <w:tcW w:w="2510" w:type="dxa"/>
            <w:noWrap w:val="0"/>
            <w:vAlign w:val="center"/>
          </w:tcPr>
          <w:p w14:paraId="47546704">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kern w:val="0"/>
                <w:sz w:val="21"/>
                <w:szCs w:val="21"/>
              </w:rPr>
              <w:t>响应文件内容</w:t>
            </w:r>
          </w:p>
        </w:tc>
        <w:tc>
          <w:tcPr>
            <w:tcW w:w="4683" w:type="dxa"/>
            <w:noWrap w:val="0"/>
            <w:vAlign w:val="center"/>
          </w:tcPr>
          <w:p w14:paraId="5411133A">
            <w:pPr>
              <w:pStyle w:val="33"/>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kern w:val="0"/>
                <w:sz w:val="21"/>
                <w:szCs w:val="21"/>
              </w:rPr>
              <w:t>对</w:t>
            </w:r>
            <w:r>
              <w:rPr>
                <w:rFonts w:hint="eastAsia" w:ascii="黑体" w:hAnsi="黑体" w:eastAsia="黑体" w:cs="黑体"/>
                <w:kern w:val="0"/>
                <w:sz w:val="21"/>
                <w:szCs w:val="21"/>
                <w:lang w:eastAsia="zh-CN"/>
              </w:rPr>
              <w:t>询比文件</w:t>
            </w:r>
            <w:r>
              <w:rPr>
                <w:rFonts w:hint="eastAsia" w:ascii="黑体" w:hAnsi="黑体" w:eastAsia="黑体" w:cs="黑体"/>
                <w:kern w:val="0"/>
                <w:sz w:val="21"/>
                <w:szCs w:val="21"/>
              </w:rPr>
              <w:t>第二篇、第三篇规定的</w:t>
            </w:r>
            <w:r>
              <w:rPr>
                <w:rFonts w:hint="eastAsia" w:ascii="黑体" w:hAnsi="黑体" w:eastAsia="黑体" w:cs="黑体"/>
                <w:kern w:val="0"/>
                <w:sz w:val="21"/>
                <w:szCs w:val="21"/>
                <w:lang w:eastAsia="zh-CN"/>
              </w:rPr>
              <w:t>询比</w:t>
            </w:r>
            <w:r>
              <w:rPr>
                <w:rFonts w:hint="eastAsia" w:ascii="黑体" w:hAnsi="黑体" w:eastAsia="黑体" w:cs="黑体"/>
                <w:kern w:val="0"/>
                <w:sz w:val="21"/>
                <w:szCs w:val="21"/>
              </w:rPr>
              <w:t>内容进行实质性响应。</w:t>
            </w:r>
          </w:p>
        </w:tc>
      </w:tr>
      <w:tr w14:paraId="5CE9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45" w:type="dxa"/>
            <w:vMerge w:val="continue"/>
            <w:noWrap w:val="0"/>
            <w:vAlign w:val="center"/>
          </w:tcPr>
          <w:p w14:paraId="6590265E">
            <w:pPr>
              <w:keepNext w:val="0"/>
              <w:keepLines w:val="0"/>
              <w:suppressLineNumbers w:val="0"/>
              <w:spacing w:before="0" w:beforeAutospacing="0" w:after="0" w:afterAutospacing="0"/>
              <w:ind w:left="0" w:right="0"/>
              <w:jc w:val="center"/>
              <w:rPr>
                <w:rFonts w:hint="eastAsia" w:ascii="黑体" w:hAnsi="黑体" w:eastAsia="黑体" w:cs="黑体"/>
                <w:kern w:val="0"/>
                <w:sz w:val="21"/>
                <w:szCs w:val="21"/>
              </w:rPr>
            </w:pPr>
          </w:p>
        </w:tc>
        <w:tc>
          <w:tcPr>
            <w:tcW w:w="1380" w:type="dxa"/>
            <w:vMerge w:val="continue"/>
            <w:noWrap w:val="0"/>
            <w:vAlign w:val="center"/>
          </w:tcPr>
          <w:p w14:paraId="2251304F">
            <w:pPr>
              <w:keepNext w:val="0"/>
              <w:keepLines w:val="0"/>
              <w:suppressLineNumbers w:val="0"/>
              <w:spacing w:before="0" w:beforeAutospacing="0" w:after="0" w:afterAutospacing="0"/>
              <w:ind w:left="0" w:right="0"/>
              <w:rPr>
                <w:rFonts w:hint="eastAsia" w:ascii="黑体" w:hAnsi="黑体" w:eastAsia="黑体" w:cs="黑体"/>
                <w:kern w:val="0"/>
                <w:sz w:val="21"/>
                <w:szCs w:val="21"/>
                <w:lang w:eastAsia="zh-CN"/>
              </w:rPr>
            </w:pPr>
          </w:p>
        </w:tc>
        <w:tc>
          <w:tcPr>
            <w:tcW w:w="2510" w:type="dxa"/>
            <w:noWrap w:val="0"/>
            <w:vAlign w:val="center"/>
          </w:tcPr>
          <w:p w14:paraId="61ABD7E8">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kern w:val="0"/>
                <w:sz w:val="21"/>
                <w:szCs w:val="21"/>
                <w:lang w:eastAsia="zh-CN"/>
              </w:rPr>
              <w:t>询比</w:t>
            </w:r>
            <w:r>
              <w:rPr>
                <w:rFonts w:hint="eastAsia" w:ascii="黑体" w:hAnsi="黑体" w:eastAsia="黑体" w:cs="黑体"/>
                <w:kern w:val="0"/>
                <w:sz w:val="21"/>
                <w:szCs w:val="21"/>
              </w:rPr>
              <w:t>有效期</w:t>
            </w:r>
          </w:p>
        </w:tc>
        <w:tc>
          <w:tcPr>
            <w:tcW w:w="4683" w:type="dxa"/>
            <w:noWrap w:val="0"/>
            <w:vAlign w:val="center"/>
          </w:tcPr>
          <w:p w14:paraId="53BA28E5">
            <w:pPr>
              <w:keepNext w:val="0"/>
              <w:keepLines w:val="0"/>
              <w:suppressLineNumbers w:val="0"/>
              <w:spacing w:before="0" w:beforeAutospacing="0" w:after="0" w:afterAutospacing="0"/>
              <w:ind w:left="0" w:right="0"/>
              <w:rPr>
                <w:rFonts w:hint="eastAsia" w:ascii="黑体" w:hAnsi="黑体" w:eastAsia="黑体" w:cs="黑体"/>
                <w:kern w:val="0"/>
                <w:sz w:val="21"/>
                <w:szCs w:val="21"/>
              </w:rPr>
            </w:pPr>
            <w:r>
              <w:rPr>
                <w:rFonts w:hint="eastAsia" w:ascii="黑体" w:hAnsi="黑体" w:eastAsia="黑体" w:cs="黑体"/>
                <w:kern w:val="0"/>
                <w:sz w:val="21"/>
                <w:szCs w:val="21"/>
              </w:rPr>
              <w:t>响应文件及有关承诺文件有效期为提交响应文件截止时间起90天。</w:t>
            </w:r>
          </w:p>
        </w:tc>
      </w:tr>
    </w:tbl>
    <w:p w14:paraId="10F07C9C">
      <w:pPr>
        <w:pStyle w:val="34"/>
        <w:keepNext w:val="0"/>
        <w:keepLines w:val="0"/>
        <w:pageBreakBefore w:val="0"/>
        <w:widowControl w:val="0"/>
        <w:numPr>
          <w:ilvl w:val="0"/>
          <w:numId w:val="0"/>
        </w:numPr>
        <w:kinsoku/>
        <w:wordWrap/>
        <w:overflowPunct/>
        <w:topLinePunct w:val="0"/>
        <w:autoSpaceDE/>
        <w:autoSpaceDN/>
        <w:bidi w:val="0"/>
        <w:adjustRightInd/>
        <w:spacing w:line="440" w:lineRule="exact"/>
        <w:ind w:firstLine="482" w:firstLineChars="200"/>
        <w:jc w:val="left"/>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二、评标办法</w:t>
      </w:r>
    </w:p>
    <w:p w14:paraId="1D7B64A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kern w:val="0"/>
          <w:sz w:val="24"/>
          <w:szCs w:val="24"/>
        </w:rPr>
      </w:pPr>
      <w:r>
        <w:rPr>
          <w:rFonts w:hint="eastAsia" w:ascii="黑体" w:hAnsi="黑体" w:eastAsia="黑体" w:cs="黑体"/>
          <w:kern w:val="0"/>
          <w:sz w:val="24"/>
          <w:szCs w:val="24"/>
        </w:rPr>
        <w:t>本项目采用综合评分法进行评标。</w:t>
      </w:r>
    </w:p>
    <w:p w14:paraId="0F5BC14F">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kern w:val="2"/>
          <w:sz w:val="24"/>
          <w:szCs w:val="24"/>
          <w:lang w:val="en-US" w:eastAsia="zh-CN" w:bidi="ar-SA"/>
        </w:rPr>
      </w:pPr>
      <w:r>
        <w:rPr>
          <w:rFonts w:hint="eastAsia" w:ascii="黑体" w:hAnsi="黑体" w:eastAsia="黑体" w:cs="黑体"/>
          <w:kern w:val="0"/>
          <w:sz w:val="24"/>
          <w:szCs w:val="24"/>
        </w:rPr>
        <w:t>综合评分法，</w:t>
      </w:r>
      <w:r>
        <w:rPr>
          <w:rFonts w:hint="eastAsia" w:ascii="黑体" w:hAnsi="黑体" w:eastAsia="黑体" w:cs="黑体"/>
          <w:kern w:val="2"/>
          <w:sz w:val="24"/>
          <w:szCs w:val="24"/>
          <w:lang w:val="en-US" w:eastAsia="zh-CN" w:bidi="ar-SA"/>
        </w:rPr>
        <w:t>是指响应文件满足采购文件全部实质性要求且按照评审因素的量化指标评审得分最高的供应商为成交候选供应商的评审方法。供应商总得分为价格、服务、商务等评定因素分别按照相应权重值计算分项得分后相加，满分为100分。</w:t>
      </w:r>
    </w:p>
    <w:p w14:paraId="402695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2"/>
        <w:rPr>
          <w:rFonts w:hint="eastAsia" w:ascii="黑体" w:hAnsi="黑体" w:eastAsia="黑体" w:cs="黑体"/>
          <w:sz w:val="24"/>
          <w:szCs w:val="24"/>
        </w:rPr>
      </w:pPr>
      <w:r>
        <w:rPr>
          <w:rFonts w:hint="eastAsia" w:ascii="黑体" w:hAnsi="黑体" w:eastAsia="黑体" w:cs="黑体"/>
          <w:color w:val="auto"/>
          <w:sz w:val="24"/>
          <w:szCs w:val="24"/>
        </w:rPr>
        <w:t>澄清有关问题。</w:t>
      </w:r>
      <w:r>
        <w:rPr>
          <w:rFonts w:hint="eastAsia" w:ascii="黑体" w:hAnsi="黑体" w:eastAsia="黑体" w:cs="黑体"/>
          <w:color w:val="auto"/>
          <w:sz w:val="24"/>
          <w:szCs w:val="24"/>
          <w:lang w:val="en-US" w:eastAsia="zh-CN"/>
        </w:rPr>
        <w:t>询比</w:t>
      </w:r>
      <w:r>
        <w:rPr>
          <w:rFonts w:hint="eastAsia" w:ascii="黑体" w:hAnsi="黑体" w:eastAsia="黑体" w:cs="黑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48E32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（一）比较与评价。按</w:t>
      </w:r>
      <w:r>
        <w:rPr>
          <w:rFonts w:hint="eastAsia" w:ascii="黑体" w:hAnsi="黑体" w:eastAsia="黑体" w:cs="黑体"/>
          <w:sz w:val="24"/>
          <w:szCs w:val="24"/>
          <w:lang w:val="en-US" w:eastAsia="zh-CN"/>
        </w:rPr>
        <w:t>询比</w:t>
      </w:r>
      <w:r>
        <w:rPr>
          <w:rFonts w:hint="eastAsia" w:ascii="黑体" w:hAnsi="黑体" w:eastAsia="黑体" w:cs="黑体"/>
          <w:sz w:val="24"/>
          <w:szCs w:val="24"/>
        </w:rPr>
        <w:t>文件中规定的评标方法和标准，对资格审查和符合性审查合格的</w:t>
      </w:r>
      <w:r>
        <w:rPr>
          <w:rFonts w:hint="eastAsia" w:ascii="黑体" w:hAnsi="黑体" w:eastAsia="黑体" w:cs="黑体"/>
          <w:sz w:val="24"/>
          <w:szCs w:val="24"/>
          <w:lang w:eastAsia="zh-CN"/>
        </w:rPr>
        <w:t>响应</w:t>
      </w:r>
      <w:r>
        <w:rPr>
          <w:rFonts w:hint="eastAsia" w:ascii="黑体" w:hAnsi="黑体" w:eastAsia="黑体" w:cs="黑体"/>
          <w:sz w:val="24"/>
          <w:szCs w:val="24"/>
        </w:rPr>
        <w:t>文件进行商务和</w:t>
      </w:r>
      <w:r>
        <w:rPr>
          <w:rFonts w:hint="eastAsia" w:ascii="黑体" w:hAnsi="黑体" w:eastAsia="黑体" w:cs="黑体"/>
          <w:sz w:val="24"/>
          <w:szCs w:val="24"/>
          <w:lang w:eastAsia="zh-CN"/>
        </w:rPr>
        <w:t>服务</w:t>
      </w:r>
      <w:r>
        <w:rPr>
          <w:rFonts w:hint="eastAsia" w:ascii="黑体" w:hAnsi="黑体" w:eastAsia="黑体" w:cs="黑体"/>
          <w:sz w:val="24"/>
          <w:szCs w:val="24"/>
        </w:rPr>
        <w:t>评估。</w:t>
      </w:r>
    </w:p>
    <w:p w14:paraId="4680BF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小组</w:t>
      </w:r>
      <w:r>
        <w:rPr>
          <w:rFonts w:hint="eastAsia" w:ascii="黑体" w:hAnsi="黑体" w:eastAsia="黑体" w:cs="黑体"/>
          <w:sz w:val="24"/>
          <w:szCs w:val="24"/>
        </w:rPr>
        <w:t>各成员独立对每个有效</w:t>
      </w:r>
      <w:r>
        <w:rPr>
          <w:rFonts w:hint="eastAsia" w:ascii="黑体" w:hAnsi="黑体" w:eastAsia="黑体" w:cs="黑体"/>
          <w:sz w:val="24"/>
          <w:szCs w:val="24"/>
          <w:lang w:eastAsia="zh-CN"/>
        </w:rPr>
        <w:t>供应商</w:t>
      </w:r>
      <w:r>
        <w:rPr>
          <w:rFonts w:hint="eastAsia" w:ascii="黑体" w:hAnsi="黑体" w:eastAsia="黑体" w:cs="黑体"/>
          <w:sz w:val="24"/>
          <w:szCs w:val="24"/>
        </w:rPr>
        <w:t>（通过资格审查、符合性审查的</w:t>
      </w:r>
      <w:r>
        <w:rPr>
          <w:rFonts w:hint="eastAsia" w:ascii="黑体" w:hAnsi="黑体" w:eastAsia="黑体" w:cs="黑体"/>
          <w:sz w:val="24"/>
          <w:szCs w:val="24"/>
          <w:lang w:eastAsia="zh-CN"/>
        </w:rPr>
        <w:t>供应商</w:t>
      </w:r>
      <w:r>
        <w:rPr>
          <w:rFonts w:hint="eastAsia" w:ascii="黑体" w:hAnsi="黑体" w:eastAsia="黑体" w:cs="黑体"/>
          <w:sz w:val="24"/>
          <w:szCs w:val="24"/>
        </w:rPr>
        <w:t>）的</w:t>
      </w:r>
      <w:r>
        <w:rPr>
          <w:rFonts w:hint="eastAsia" w:ascii="黑体" w:hAnsi="黑体" w:eastAsia="黑体" w:cs="黑体"/>
          <w:sz w:val="24"/>
          <w:szCs w:val="24"/>
          <w:lang w:eastAsia="zh-CN"/>
        </w:rPr>
        <w:t>响应</w:t>
      </w:r>
      <w:r>
        <w:rPr>
          <w:rFonts w:hint="eastAsia" w:ascii="黑体" w:hAnsi="黑体" w:eastAsia="黑体" w:cs="黑体"/>
          <w:sz w:val="24"/>
          <w:szCs w:val="24"/>
        </w:rPr>
        <w:t>文件进行评价、打分，然后由</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小组</w:t>
      </w:r>
      <w:r>
        <w:rPr>
          <w:rFonts w:hint="eastAsia" w:ascii="黑体" w:hAnsi="黑体" w:eastAsia="黑体" w:cs="黑体"/>
          <w:sz w:val="24"/>
          <w:szCs w:val="24"/>
        </w:rPr>
        <w:t>对各成员打分情况进行核查及复核，个别成员对同一</w:t>
      </w:r>
      <w:r>
        <w:rPr>
          <w:rFonts w:hint="eastAsia" w:ascii="黑体" w:hAnsi="黑体" w:eastAsia="黑体" w:cs="黑体"/>
          <w:sz w:val="24"/>
          <w:szCs w:val="24"/>
          <w:lang w:eastAsia="zh-CN"/>
        </w:rPr>
        <w:t>供应商</w:t>
      </w:r>
      <w:r>
        <w:rPr>
          <w:rFonts w:hint="eastAsia" w:ascii="黑体" w:hAnsi="黑体" w:eastAsia="黑体" w:cs="黑体"/>
          <w:sz w:val="24"/>
          <w:szCs w:val="24"/>
        </w:rPr>
        <w:t>同一评分项的打分偏离较大的，应对</w:t>
      </w:r>
      <w:r>
        <w:rPr>
          <w:rFonts w:hint="eastAsia" w:ascii="黑体" w:hAnsi="黑体" w:eastAsia="黑体" w:cs="黑体"/>
          <w:sz w:val="24"/>
          <w:szCs w:val="24"/>
          <w:lang w:eastAsia="zh-CN"/>
        </w:rPr>
        <w:t>供应商</w:t>
      </w:r>
      <w:r>
        <w:rPr>
          <w:rFonts w:hint="eastAsia" w:ascii="黑体" w:hAnsi="黑体" w:eastAsia="黑体" w:cs="黑体"/>
          <w:sz w:val="24"/>
          <w:szCs w:val="24"/>
        </w:rPr>
        <w:t>的</w:t>
      </w:r>
      <w:r>
        <w:rPr>
          <w:rFonts w:hint="eastAsia" w:ascii="黑体" w:hAnsi="黑体" w:eastAsia="黑体" w:cs="黑体"/>
          <w:sz w:val="24"/>
          <w:szCs w:val="24"/>
          <w:lang w:eastAsia="zh-CN"/>
        </w:rPr>
        <w:t>响应</w:t>
      </w:r>
      <w:r>
        <w:rPr>
          <w:rFonts w:hint="eastAsia" w:ascii="黑体" w:hAnsi="黑体" w:eastAsia="黑体" w:cs="黑体"/>
          <w:sz w:val="24"/>
          <w:szCs w:val="24"/>
        </w:rPr>
        <w:t>文件进行再次核对，确属打分有误的，应及时进行修正。</w:t>
      </w:r>
    </w:p>
    <w:p w14:paraId="39639F6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复核后，</w:t>
      </w:r>
      <w:r>
        <w:rPr>
          <w:rFonts w:hint="eastAsia" w:ascii="黑体" w:hAnsi="黑体" w:eastAsia="黑体" w:cs="黑体"/>
          <w:sz w:val="24"/>
          <w:szCs w:val="24"/>
          <w:lang w:val="en-US" w:eastAsia="zh-CN"/>
        </w:rPr>
        <w:t>询比</w:t>
      </w:r>
      <w:r>
        <w:rPr>
          <w:rFonts w:hint="eastAsia" w:ascii="黑体" w:hAnsi="黑体" w:eastAsia="黑体" w:cs="黑体"/>
          <w:sz w:val="24"/>
          <w:szCs w:val="24"/>
          <w:lang w:eastAsia="zh-CN"/>
        </w:rPr>
        <w:t>小组</w:t>
      </w:r>
      <w:r>
        <w:rPr>
          <w:rFonts w:hint="eastAsia" w:ascii="黑体" w:hAnsi="黑体" w:eastAsia="黑体" w:cs="黑体"/>
          <w:sz w:val="24"/>
          <w:szCs w:val="24"/>
        </w:rPr>
        <w:t>汇总每个</w:t>
      </w:r>
      <w:r>
        <w:rPr>
          <w:rFonts w:hint="eastAsia" w:ascii="黑体" w:hAnsi="黑体" w:eastAsia="黑体" w:cs="黑体"/>
          <w:sz w:val="24"/>
          <w:szCs w:val="24"/>
          <w:lang w:eastAsia="zh-CN"/>
        </w:rPr>
        <w:t>供应商</w:t>
      </w:r>
      <w:r>
        <w:rPr>
          <w:rFonts w:hint="eastAsia" w:ascii="黑体" w:hAnsi="黑体" w:eastAsia="黑体" w:cs="黑体"/>
          <w:sz w:val="24"/>
          <w:szCs w:val="24"/>
        </w:rPr>
        <w:t>每项评分因素的得分。</w:t>
      </w:r>
    </w:p>
    <w:p w14:paraId="2801DE2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（二）推荐</w:t>
      </w:r>
      <w:r>
        <w:rPr>
          <w:rFonts w:hint="eastAsia" w:ascii="黑体" w:hAnsi="黑体" w:eastAsia="黑体" w:cs="黑体"/>
          <w:sz w:val="24"/>
          <w:szCs w:val="24"/>
          <w:lang w:eastAsia="zh-CN"/>
        </w:rPr>
        <w:t>成交</w:t>
      </w:r>
      <w:r>
        <w:rPr>
          <w:rFonts w:hint="eastAsia" w:ascii="黑体" w:hAnsi="黑体" w:eastAsia="黑体" w:cs="黑体"/>
          <w:sz w:val="24"/>
          <w:szCs w:val="24"/>
        </w:rPr>
        <w:t>候选人名单。</w:t>
      </w:r>
    </w:p>
    <w:p w14:paraId="1A5B7300">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按评审后得分由高到低的排列顺序推荐综合得分排名前三的</w:t>
      </w:r>
      <w:r>
        <w:rPr>
          <w:rFonts w:hint="eastAsia" w:ascii="黑体" w:hAnsi="黑体" w:eastAsia="黑体" w:cs="黑体"/>
          <w:sz w:val="24"/>
          <w:szCs w:val="24"/>
          <w:lang w:eastAsia="zh-CN"/>
        </w:rPr>
        <w:t>供应商</w:t>
      </w:r>
      <w:r>
        <w:rPr>
          <w:rFonts w:hint="eastAsia" w:ascii="黑体" w:hAnsi="黑体" w:eastAsia="黑体" w:cs="黑体"/>
          <w:sz w:val="24"/>
          <w:szCs w:val="24"/>
        </w:rPr>
        <w:t>为本项目</w:t>
      </w:r>
      <w:r>
        <w:rPr>
          <w:rFonts w:hint="eastAsia" w:ascii="黑体" w:hAnsi="黑体" w:eastAsia="黑体" w:cs="黑体"/>
          <w:sz w:val="24"/>
          <w:szCs w:val="24"/>
          <w:lang w:eastAsia="zh-CN"/>
        </w:rPr>
        <w:t>成交</w:t>
      </w:r>
      <w:r>
        <w:rPr>
          <w:rFonts w:hint="eastAsia" w:ascii="黑体" w:hAnsi="黑体" w:eastAsia="黑体" w:cs="黑体"/>
          <w:sz w:val="24"/>
          <w:szCs w:val="24"/>
        </w:rPr>
        <w:t>候选人，排名第一的为第一</w:t>
      </w:r>
      <w:r>
        <w:rPr>
          <w:rFonts w:hint="eastAsia" w:ascii="黑体" w:hAnsi="黑体" w:eastAsia="黑体" w:cs="黑体"/>
          <w:sz w:val="24"/>
          <w:szCs w:val="24"/>
          <w:lang w:eastAsia="zh-CN"/>
        </w:rPr>
        <w:t>成交</w:t>
      </w:r>
      <w:r>
        <w:rPr>
          <w:rFonts w:hint="eastAsia" w:ascii="黑体" w:hAnsi="黑体" w:eastAsia="黑体" w:cs="黑体"/>
          <w:sz w:val="24"/>
          <w:szCs w:val="24"/>
        </w:rPr>
        <w:t>候选人。得分相同的，按报价由低到高顺序排列。得分且报价相同的</w:t>
      </w:r>
      <w:r>
        <w:rPr>
          <w:rFonts w:hint="eastAsia" w:ascii="黑体" w:hAnsi="黑体" w:eastAsia="黑体" w:cs="黑体"/>
          <w:sz w:val="24"/>
          <w:szCs w:val="24"/>
          <w:lang w:eastAsia="zh-CN"/>
        </w:rPr>
        <w:t>，</w:t>
      </w:r>
      <w:r>
        <w:rPr>
          <w:rFonts w:hint="eastAsia" w:ascii="黑体" w:hAnsi="黑体" w:eastAsia="黑体" w:cs="黑体"/>
          <w:kern w:val="2"/>
          <w:sz w:val="24"/>
          <w:szCs w:val="24"/>
          <w:lang w:val="en-US" w:eastAsia="zh-CN" w:bidi="ar-SA"/>
        </w:rPr>
        <w:t>按照服务指标优劣顺序排列推荐</w:t>
      </w:r>
      <w:r>
        <w:rPr>
          <w:rFonts w:hint="eastAsia" w:ascii="黑体" w:hAnsi="黑体" w:eastAsia="黑体" w:cs="黑体"/>
          <w:sz w:val="24"/>
          <w:szCs w:val="24"/>
        </w:rPr>
        <w:t>。</w:t>
      </w:r>
      <w:r>
        <w:rPr>
          <w:rFonts w:hint="eastAsia" w:ascii="黑体" w:hAnsi="黑体" w:eastAsia="黑体" w:cs="黑体"/>
          <w:kern w:val="2"/>
          <w:sz w:val="24"/>
          <w:szCs w:val="24"/>
          <w:lang w:val="en-US" w:eastAsia="zh-CN" w:bidi="ar-SA"/>
        </w:rPr>
        <w:t>若服务部分得分为0分的供应商，将失去成为成交候选人的资格。</w:t>
      </w:r>
    </w:p>
    <w:p w14:paraId="0EFD9F5A">
      <w:pPr>
        <w:pStyle w:val="3"/>
        <w:pageBreakBefore w:val="0"/>
        <w:widowControl w:val="0"/>
        <w:kinsoku/>
        <w:wordWrap/>
        <w:overflowPunct/>
        <w:topLinePunct w:val="0"/>
        <w:autoSpaceDE/>
        <w:autoSpaceDN/>
        <w:bidi w:val="0"/>
        <w:adjustRightInd w:val="0"/>
        <w:snapToGrid w:val="0"/>
        <w:spacing w:before="0" w:after="0" w:line="440" w:lineRule="exact"/>
        <w:ind w:firstLine="482" w:firstLineChars="200"/>
        <w:jc w:val="left"/>
        <w:textAlignment w:val="auto"/>
        <w:rPr>
          <w:rFonts w:hint="eastAsia" w:ascii="黑体" w:hAnsi="黑体" w:eastAsia="黑体" w:cs="黑体"/>
          <w:b/>
          <w:bCs/>
          <w:i/>
          <w:iCs/>
          <w:sz w:val="24"/>
          <w:szCs w:val="24"/>
        </w:rPr>
      </w:pPr>
      <w:bookmarkStart w:id="97" w:name="_Toc11713"/>
      <w:bookmarkStart w:id="98" w:name="_Toc30639"/>
      <w:bookmarkStart w:id="99" w:name="_Toc5149"/>
      <w:bookmarkStart w:id="100" w:name="_Toc106034791"/>
      <w:bookmarkStart w:id="101" w:name="_Toc65660351"/>
      <w:bookmarkStart w:id="102" w:name="_Toc64732013"/>
      <w:r>
        <w:rPr>
          <w:rFonts w:hint="eastAsia" w:ascii="黑体" w:hAnsi="黑体" w:eastAsia="黑体" w:cs="黑体"/>
          <w:sz w:val="24"/>
          <w:lang w:eastAsia="zh-CN"/>
        </w:rPr>
        <w:t>三</w:t>
      </w:r>
      <w:r>
        <w:rPr>
          <w:rFonts w:hint="eastAsia" w:ascii="黑体" w:hAnsi="黑体" w:eastAsia="黑体" w:cs="黑体"/>
          <w:sz w:val="24"/>
        </w:rPr>
        <w:t>、评</w:t>
      </w:r>
      <w:r>
        <w:rPr>
          <w:rFonts w:hint="eastAsia" w:ascii="黑体" w:hAnsi="黑体" w:eastAsia="黑体" w:cs="黑体"/>
          <w:sz w:val="24"/>
          <w:lang w:eastAsia="zh-CN"/>
        </w:rPr>
        <w:t>审</w:t>
      </w:r>
      <w:bookmarkEnd w:id="97"/>
      <w:bookmarkEnd w:id="98"/>
      <w:bookmarkEnd w:id="99"/>
      <w:bookmarkEnd w:id="100"/>
      <w:bookmarkEnd w:id="101"/>
      <w:bookmarkEnd w:id="102"/>
      <w:r>
        <w:rPr>
          <w:rFonts w:hint="eastAsia" w:ascii="黑体" w:hAnsi="黑体" w:eastAsia="黑体" w:cs="黑体"/>
          <w:sz w:val="24"/>
          <w:lang w:eastAsia="zh-CN"/>
        </w:rPr>
        <w:t>标准</w:t>
      </w:r>
    </w:p>
    <w:tbl>
      <w:tblPr>
        <w:tblStyle w:val="59"/>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8"/>
        <w:gridCol w:w="1182"/>
        <w:gridCol w:w="746"/>
        <w:gridCol w:w="5338"/>
        <w:gridCol w:w="1931"/>
      </w:tblGrid>
      <w:tr w14:paraId="01E87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217" w:type="pct"/>
            <w:tcBorders>
              <w:top w:val="single" w:color="000000" w:sz="4" w:space="0"/>
              <w:left w:val="single" w:color="000000" w:sz="4" w:space="0"/>
              <w:bottom w:val="single" w:color="000000" w:sz="4" w:space="0"/>
              <w:right w:val="single" w:color="000000" w:sz="4" w:space="0"/>
            </w:tcBorders>
            <w:vAlign w:val="center"/>
          </w:tcPr>
          <w:p w14:paraId="1DDFF3D2">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序号</w:t>
            </w:r>
          </w:p>
        </w:tc>
        <w:tc>
          <w:tcPr>
            <w:tcW w:w="614" w:type="pct"/>
            <w:tcBorders>
              <w:top w:val="single" w:color="000000" w:sz="4" w:space="0"/>
              <w:left w:val="single" w:color="000000" w:sz="4" w:space="0"/>
              <w:bottom w:val="single" w:color="000000" w:sz="4" w:space="0"/>
              <w:right w:val="single" w:color="000000" w:sz="4" w:space="0"/>
            </w:tcBorders>
            <w:vAlign w:val="center"/>
          </w:tcPr>
          <w:p w14:paraId="35E6E0D0">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评分因素及权重</w:t>
            </w:r>
          </w:p>
        </w:tc>
        <w:tc>
          <w:tcPr>
            <w:tcW w:w="387" w:type="pct"/>
            <w:tcBorders>
              <w:top w:val="single" w:color="000000" w:sz="4" w:space="0"/>
              <w:left w:val="single" w:color="000000" w:sz="4" w:space="0"/>
              <w:bottom w:val="single" w:color="000000" w:sz="4" w:space="0"/>
              <w:right w:val="single" w:color="000000" w:sz="4" w:space="0"/>
            </w:tcBorders>
            <w:vAlign w:val="center"/>
          </w:tcPr>
          <w:p w14:paraId="665FD7BC">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分值</w:t>
            </w:r>
          </w:p>
        </w:tc>
        <w:tc>
          <w:tcPr>
            <w:tcW w:w="2775" w:type="pct"/>
            <w:tcBorders>
              <w:top w:val="single" w:color="000000" w:sz="4" w:space="0"/>
              <w:left w:val="single" w:color="000000" w:sz="4" w:space="0"/>
              <w:bottom w:val="single" w:color="000000" w:sz="4" w:space="0"/>
              <w:right w:val="single" w:color="000000" w:sz="4" w:space="0"/>
            </w:tcBorders>
            <w:vAlign w:val="center"/>
          </w:tcPr>
          <w:p w14:paraId="5EDB8B23">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评分标准</w:t>
            </w:r>
          </w:p>
        </w:tc>
        <w:tc>
          <w:tcPr>
            <w:tcW w:w="1004" w:type="pct"/>
            <w:tcBorders>
              <w:top w:val="single" w:color="000000" w:sz="4" w:space="0"/>
              <w:left w:val="single" w:color="000000" w:sz="4" w:space="0"/>
              <w:bottom w:val="single" w:color="000000" w:sz="4" w:space="0"/>
              <w:right w:val="single" w:color="000000" w:sz="4" w:space="0"/>
            </w:tcBorders>
            <w:vAlign w:val="center"/>
          </w:tcPr>
          <w:p w14:paraId="2078DF36">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b/>
                <w:bCs/>
                <w:color w:val="auto"/>
                <w:sz w:val="21"/>
                <w:szCs w:val="21"/>
                <w:highlight w:val="none"/>
              </w:rPr>
            </w:pPr>
            <w:r>
              <w:rPr>
                <w:rFonts w:hint="eastAsia" w:ascii="黑体" w:hAnsi="黑体" w:eastAsia="黑体" w:cs="黑体"/>
                <w:b/>
                <w:bCs/>
                <w:color w:val="auto"/>
                <w:sz w:val="21"/>
                <w:szCs w:val="21"/>
                <w:highlight w:val="none"/>
              </w:rPr>
              <w:t>备注</w:t>
            </w:r>
          </w:p>
        </w:tc>
      </w:tr>
      <w:tr w14:paraId="5CB2B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217" w:type="pct"/>
            <w:tcBorders>
              <w:top w:val="single" w:color="000000" w:sz="4" w:space="0"/>
              <w:left w:val="single" w:color="000000" w:sz="4" w:space="0"/>
              <w:bottom w:val="single" w:color="000000" w:sz="4" w:space="0"/>
              <w:right w:val="single" w:color="000000" w:sz="4" w:space="0"/>
            </w:tcBorders>
            <w:vAlign w:val="center"/>
          </w:tcPr>
          <w:p w14:paraId="35B172AB">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w:t>
            </w:r>
          </w:p>
        </w:tc>
        <w:tc>
          <w:tcPr>
            <w:tcW w:w="614" w:type="pct"/>
            <w:tcBorders>
              <w:top w:val="single" w:color="000000" w:sz="4" w:space="0"/>
              <w:left w:val="single" w:color="000000" w:sz="4" w:space="0"/>
              <w:bottom w:val="single" w:color="000000" w:sz="4" w:space="0"/>
              <w:right w:val="single" w:color="000000" w:sz="4" w:space="0"/>
            </w:tcBorders>
            <w:vAlign w:val="center"/>
          </w:tcPr>
          <w:p w14:paraId="15D68F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询比</w:t>
            </w:r>
          </w:p>
          <w:p w14:paraId="1B1C5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报价</w:t>
            </w:r>
          </w:p>
          <w:p w14:paraId="00D32818">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rPr>
              <w:t>%）</w:t>
            </w:r>
          </w:p>
        </w:tc>
        <w:tc>
          <w:tcPr>
            <w:tcW w:w="387" w:type="pct"/>
            <w:tcBorders>
              <w:top w:val="single" w:color="000000" w:sz="4" w:space="0"/>
              <w:left w:val="single" w:color="000000" w:sz="4" w:space="0"/>
              <w:bottom w:val="single" w:color="000000" w:sz="4" w:space="0"/>
              <w:right w:val="single" w:color="000000" w:sz="4" w:space="0"/>
            </w:tcBorders>
            <w:vAlign w:val="center"/>
          </w:tcPr>
          <w:p w14:paraId="1B31FE2B">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10</w:t>
            </w:r>
          </w:p>
          <w:p w14:paraId="2DEB7B20">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分</w:t>
            </w:r>
          </w:p>
        </w:tc>
        <w:tc>
          <w:tcPr>
            <w:tcW w:w="2775" w:type="pct"/>
            <w:tcBorders>
              <w:top w:val="single" w:color="000000" w:sz="4" w:space="0"/>
              <w:left w:val="single" w:color="000000" w:sz="4" w:space="0"/>
              <w:bottom w:val="single" w:color="000000" w:sz="4" w:space="0"/>
              <w:right w:val="single" w:color="000000" w:sz="4" w:space="0"/>
            </w:tcBorders>
            <w:vAlign w:val="center"/>
          </w:tcPr>
          <w:p w14:paraId="5FF24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0" w:firstLineChars="100"/>
              <w:jc w:val="left"/>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有效的</w:t>
            </w:r>
            <w:r>
              <w:rPr>
                <w:rFonts w:hint="eastAsia" w:ascii="黑体" w:hAnsi="黑体" w:eastAsia="黑体" w:cs="黑体"/>
                <w:color w:val="auto"/>
                <w:sz w:val="21"/>
                <w:szCs w:val="21"/>
                <w:highlight w:val="none"/>
                <w:lang w:val="en-US" w:eastAsia="zh-CN"/>
              </w:rPr>
              <w:t>询比</w:t>
            </w:r>
            <w:r>
              <w:rPr>
                <w:rFonts w:hint="eastAsia" w:ascii="黑体" w:hAnsi="黑体" w:eastAsia="黑体" w:cs="黑体"/>
                <w:color w:val="auto"/>
                <w:sz w:val="21"/>
                <w:szCs w:val="21"/>
                <w:highlight w:val="none"/>
              </w:rPr>
              <w:t>报价中的</w:t>
            </w:r>
            <w:r>
              <w:rPr>
                <w:rFonts w:hint="eastAsia" w:ascii="黑体" w:hAnsi="黑体" w:eastAsia="黑体" w:cs="黑体"/>
                <w:color w:val="auto"/>
                <w:sz w:val="21"/>
                <w:szCs w:val="21"/>
                <w:highlight w:val="none"/>
                <w:lang w:val="en-US" w:eastAsia="zh-CN"/>
              </w:rPr>
              <w:t>综合单价</w:t>
            </w:r>
            <w:r>
              <w:rPr>
                <w:rFonts w:hint="eastAsia" w:ascii="黑体" w:hAnsi="黑体" w:eastAsia="黑体" w:cs="黑体"/>
                <w:color w:val="auto"/>
                <w:sz w:val="21"/>
                <w:szCs w:val="21"/>
                <w:highlight w:val="none"/>
              </w:rPr>
              <w:t>最低价为评标基准价，其价格分为满分。其他供应商的价格分统一按照下列公式计算：</w:t>
            </w:r>
          </w:p>
          <w:p w14:paraId="7ABF92B8">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0" w:firstLineChars="100"/>
              <w:jc w:val="left"/>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lang w:val="en-US" w:eastAsia="zh-CN"/>
              </w:rPr>
              <w:t>询比</w:t>
            </w:r>
            <w:r>
              <w:rPr>
                <w:rFonts w:hint="eastAsia" w:ascii="黑体" w:hAnsi="黑体" w:eastAsia="黑体" w:cs="黑体"/>
                <w:color w:val="auto"/>
                <w:sz w:val="21"/>
                <w:szCs w:val="21"/>
                <w:highlight w:val="none"/>
              </w:rPr>
              <w:t>报价得分＝（评标基准价/</w:t>
            </w:r>
            <w:r>
              <w:rPr>
                <w:rFonts w:hint="eastAsia" w:ascii="黑体" w:hAnsi="黑体" w:eastAsia="黑体" w:cs="黑体"/>
                <w:color w:val="auto"/>
                <w:sz w:val="21"/>
                <w:szCs w:val="21"/>
                <w:highlight w:val="none"/>
                <w:lang w:val="en-US" w:eastAsia="zh-CN"/>
              </w:rPr>
              <w:t>询比</w:t>
            </w:r>
            <w:r>
              <w:rPr>
                <w:rFonts w:hint="eastAsia" w:ascii="黑体" w:hAnsi="黑体" w:eastAsia="黑体" w:cs="黑体"/>
                <w:color w:val="auto"/>
                <w:sz w:val="21"/>
                <w:szCs w:val="21"/>
                <w:highlight w:val="none"/>
              </w:rPr>
              <w:t>报价）×价格权重×100。</w:t>
            </w:r>
          </w:p>
        </w:tc>
        <w:tc>
          <w:tcPr>
            <w:tcW w:w="1004" w:type="pct"/>
            <w:tcBorders>
              <w:top w:val="single" w:color="000000" w:sz="4" w:space="0"/>
              <w:left w:val="single" w:color="000000" w:sz="4" w:space="0"/>
              <w:bottom w:val="single" w:color="000000" w:sz="4" w:space="0"/>
              <w:right w:val="single" w:color="000000" w:sz="4" w:space="0"/>
            </w:tcBorders>
            <w:vAlign w:val="center"/>
          </w:tcPr>
          <w:p w14:paraId="089E0B13">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关于小微企业报价扣除比例说明</w:t>
            </w:r>
          </w:p>
        </w:tc>
      </w:tr>
      <w:tr w14:paraId="37B8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trPr>
        <w:tc>
          <w:tcPr>
            <w:tcW w:w="217" w:type="pct"/>
            <w:vMerge w:val="restart"/>
            <w:tcBorders>
              <w:left w:val="single" w:color="auto" w:sz="4" w:space="0"/>
              <w:right w:val="single" w:color="000000" w:sz="4" w:space="0"/>
            </w:tcBorders>
            <w:vAlign w:val="center"/>
          </w:tcPr>
          <w:p w14:paraId="5F035561">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2</w:t>
            </w:r>
          </w:p>
        </w:tc>
        <w:tc>
          <w:tcPr>
            <w:tcW w:w="614" w:type="pct"/>
            <w:vMerge w:val="restart"/>
            <w:tcBorders>
              <w:left w:val="single" w:color="000000" w:sz="4" w:space="0"/>
              <w:right w:val="single" w:color="000000" w:sz="4" w:space="0"/>
            </w:tcBorders>
            <w:vAlign w:val="center"/>
          </w:tcPr>
          <w:p w14:paraId="76A5EF21">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服务</w:t>
            </w:r>
          </w:p>
          <w:p w14:paraId="4D4A4428">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部分</w:t>
            </w:r>
          </w:p>
          <w:p w14:paraId="75CE53F7">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（50%）</w:t>
            </w:r>
          </w:p>
        </w:tc>
        <w:tc>
          <w:tcPr>
            <w:tcW w:w="387" w:type="pct"/>
            <w:vMerge w:val="restart"/>
            <w:tcBorders>
              <w:top w:val="single" w:color="auto" w:sz="4" w:space="0"/>
              <w:left w:val="single" w:color="000000" w:sz="4" w:space="0"/>
              <w:right w:val="single" w:color="000000" w:sz="4" w:space="0"/>
            </w:tcBorders>
            <w:vAlign w:val="center"/>
          </w:tcPr>
          <w:p w14:paraId="7CA7324B">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50</w:t>
            </w:r>
          </w:p>
          <w:p w14:paraId="79E9AB77">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分</w:t>
            </w:r>
          </w:p>
        </w:tc>
        <w:tc>
          <w:tcPr>
            <w:tcW w:w="2775" w:type="pct"/>
            <w:tcBorders>
              <w:top w:val="single" w:color="auto" w:sz="4" w:space="0"/>
              <w:left w:val="single" w:color="000000" w:sz="4" w:space="0"/>
              <w:bottom w:val="single" w:color="000000" w:sz="4" w:space="0"/>
              <w:right w:val="single" w:color="000000" w:sz="4" w:space="0"/>
            </w:tcBorders>
            <w:vAlign w:val="center"/>
          </w:tcPr>
          <w:p w14:paraId="7A0C0C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auto"/>
              <w:rPr>
                <w:rFonts w:hint="default"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一、体检服务方案（8分）</w:t>
            </w:r>
          </w:p>
          <w:p w14:paraId="69A416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210" w:firstLineChars="100"/>
              <w:jc w:val="left"/>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供应商提供针对本项目的体检服务方案；方案包含但不限于机构参加体检医务人员数量、人员名单和职称、设施设备、现场组织、体检流程等内容；</w:t>
            </w:r>
            <w:r>
              <w:rPr>
                <w:rFonts w:hint="eastAsia" w:ascii="黑体" w:hAnsi="黑体" w:eastAsia="黑体" w:cs="黑体"/>
                <w:color w:val="auto"/>
                <w:sz w:val="21"/>
                <w:szCs w:val="21"/>
                <w:highlight w:val="none"/>
                <w:lang w:val="en-US" w:eastAsia="zh-CN"/>
              </w:rPr>
              <w:br w:type="textWrapping"/>
            </w:r>
            <w:r>
              <w:rPr>
                <w:rFonts w:hint="eastAsia" w:ascii="黑体" w:hAnsi="黑体" w:eastAsia="黑体" w:cs="黑体"/>
                <w:color w:val="auto"/>
                <w:sz w:val="21"/>
                <w:szCs w:val="21"/>
                <w:highlight w:val="none"/>
                <w:lang w:val="en-US" w:eastAsia="zh-CN"/>
              </w:rPr>
              <w:t xml:space="preserve"> 1.方案内容不存在瑕疵，得8分。</w:t>
            </w:r>
            <w:r>
              <w:rPr>
                <w:rFonts w:hint="eastAsia" w:ascii="黑体" w:hAnsi="黑体" w:eastAsia="黑体" w:cs="黑体"/>
                <w:color w:val="auto"/>
                <w:sz w:val="21"/>
                <w:szCs w:val="21"/>
                <w:highlight w:val="none"/>
                <w:lang w:val="en-US" w:eastAsia="zh-CN"/>
              </w:rPr>
              <w:br w:type="textWrapping"/>
            </w:r>
            <w:r>
              <w:rPr>
                <w:rFonts w:hint="eastAsia" w:ascii="黑体" w:hAnsi="黑体" w:eastAsia="黑体" w:cs="黑体"/>
                <w:color w:val="auto"/>
                <w:sz w:val="21"/>
                <w:szCs w:val="21"/>
                <w:highlight w:val="none"/>
                <w:lang w:val="en-US" w:eastAsia="zh-CN"/>
              </w:rPr>
              <w:t xml:space="preserve"> 2.方案内容存在1处瑕疵，得6分。</w:t>
            </w:r>
            <w:r>
              <w:rPr>
                <w:rFonts w:hint="eastAsia" w:ascii="黑体" w:hAnsi="黑体" w:eastAsia="黑体" w:cs="黑体"/>
                <w:color w:val="auto"/>
                <w:sz w:val="21"/>
                <w:szCs w:val="21"/>
                <w:highlight w:val="none"/>
                <w:lang w:val="en-US" w:eastAsia="zh-CN"/>
              </w:rPr>
              <w:br w:type="textWrapping"/>
            </w:r>
            <w:r>
              <w:rPr>
                <w:rFonts w:hint="eastAsia" w:ascii="黑体" w:hAnsi="黑体" w:eastAsia="黑体" w:cs="黑体"/>
                <w:color w:val="auto"/>
                <w:sz w:val="21"/>
                <w:szCs w:val="21"/>
                <w:highlight w:val="none"/>
                <w:lang w:val="en-US" w:eastAsia="zh-CN"/>
              </w:rPr>
              <w:t xml:space="preserve"> 3.方案内容存在2处瑕疵，得3分。</w:t>
            </w:r>
            <w:r>
              <w:rPr>
                <w:rFonts w:hint="eastAsia" w:ascii="黑体" w:hAnsi="黑体" w:eastAsia="黑体" w:cs="黑体"/>
                <w:color w:val="auto"/>
                <w:sz w:val="21"/>
                <w:szCs w:val="21"/>
                <w:highlight w:val="none"/>
                <w:lang w:val="en-US" w:eastAsia="zh-CN"/>
              </w:rPr>
              <w:br w:type="textWrapping"/>
            </w:r>
            <w:r>
              <w:rPr>
                <w:rFonts w:hint="eastAsia" w:ascii="黑体" w:hAnsi="黑体" w:eastAsia="黑体" w:cs="黑体"/>
                <w:color w:val="auto"/>
                <w:sz w:val="21"/>
                <w:szCs w:val="21"/>
                <w:highlight w:val="none"/>
                <w:lang w:val="en-US" w:eastAsia="zh-CN"/>
              </w:rPr>
              <w:t xml:space="preserve"> 4.方案内容存在3处瑕疵，得1分。</w:t>
            </w:r>
            <w:r>
              <w:rPr>
                <w:rFonts w:hint="eastAsia" w:ascii="黑体" w:hAnsi="黑体" w:eastAsia="黑体" w:cs="黑体"/>
                <w:color w:val="auto"/>
                <w:sz w:val="21"/>
                <w:szCs w:val="21"/>
                <w:highlight w:val="none"/>
                <w:lang w:val="en-US" w:eastAsia="zh-CN"/>
              </w:rPr>
              <w:br w:type="textWrapping"/>
            </w:r>
            <w:r>
              <w:rPr>
                <w:rFonts w:hint="eastAsia" w:ascii="黑体" w:hAnsi="黑体" w:eastAsia="黑体" w:cs="黑体"/>
                <w:color w:val="auto"/>
                <w:sz w:val="21"/>
                <w:szCs w:val="21"/>
                <w:highlight w:val="none"/>
                <w:lang w:val="en-US" w:eastAsia="zh-CN"/>
              </w:rPr>
              <w:t xml:space="preserve"> 5.方案内容存在4处及以上瑕疵或未提供方案，得0分。</w:t>
            </w:r>
          </w:p>
        </w:tc>
        <w:tc>
          <w:tcPr>
            <w:tcW w:w="1004" w:type="pct"/>
            <w:vMerge w:val="restart"/>
            <w:tcBorders>
              <w:left w:val="single" w:color="000000" w:sz="4" w:space="0"/>
              <w:right w:val="single" w:color="000000" w:sz="4" w:space="0"/>
            </w:tcBorders>
            <w:shd w:val="clear" w:color="auto" w:fill="auto"/>
            <w:vAlign w:val="center"/>
          </w:tcPr>
          <w:p w14:paraId="784A00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210" w:firstLineChars="1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lang w:val="en-US" w:eastAsia="zh-CN"/>
              </w:rPr>
              <w:t>方案内容中所称的“瑕疵”指：（1）方案内容缺项或内容表述不完整；（2）方案内容表述前后矛盾、无连贯性；（3）内容存在逻辑漏洞或内容存在常识错误；（4）方案不适用本项目特性（5）方案中提出的相关举措不利于本项目目标的实现；（6）现有技术条件下不可能出现的任意一种情形。</w:t>
            </w:r>
          </w:p>
        </w:tc>
      </w:tr>
      <w:tr w14:paraId="4B4B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2" w:hRule="atLeast"/>
        </w:trPr>
        <w:tc>
          <w:tcPr>
            <w:tcW w:w="217" w:type="pct"/>
            <w:vMerge w:val="continue"/>
            <w:tcBorders>
              <w:left w:val="single" w:color="auto" w:sz="4" w:space="0"/>
              <w:right w:val="single" w:color="000000" w:sz="4" w:space="0"/>
            </w:tcBorders>
            <w:vAlign w:val="center"/>
          </w:tcPr>
          <w:p w14:paraId="51E75417">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614" w:type="pct"/>
            <w:vMerge w:val="continue"/>
            <w:tcBorders>
              <w:left w:val="single" w:color="000000" w:sz="4" w:space="0"/>
              <w:right w:val="single" w:color="000000" w:sz="4" w:space="0"/>
            </w:tcBorders>
            <w:vAlign w:val="center"/>
          </w:tcPr>
          <w:p w14:paraId="425B7771">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黑体" w:hAnsi="黑体" w:eastAsia="黑体" w:cs="黑体"/>
                <w:color w:val="auto"/>
                <w:sz w:val="21"/>
                <w:szCs w:val="21"/>
                <w:highlight w:val="none"/>
              </w:rPr>
            </w:pPr>
          </w:p>
        </w:tc>
        <w:tc>
          <w:tcPr>
            <w:tcW w:w="387" w:type="pct"/>
            <w:vMerge w:val="continue"/>
            <w:tcBorders>
              <w:left w:val="single" w:color="000000" w:sz="4" w:space="0"/>
              <w:right w:val="single" w:color="000000" w:sz="4" w:space="0"/>
            </w:tcBorders>
            <w:vAlign w:val="center"/>
          </w:tcPr>
          <w:p w14:paraId="27AB87C6">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黑体" w:hAnsi="黑体" w:eastAsia="黑体" w:cs="黑体"/>
                <w:color w:val="auto"/>
                <w:kern w:val="2"/>
                <w:sz w:val="21"/>
                <w:szCs w:val="21"/>
                <w:highlight w:val="none"/>
                <w:lang w:val="en-US" w:eastAsia="zh-CN" w:bidi="ar-SA"/>
              </w:rPr>
            </w:pPr>
          </w:p>
        </w:tc>
        <w:tc>
          <w:tcPr>
            <w:tcW w:w="2775" w:type="pct"/>
            <w:tcBorders>
              <w:top w:val="single" w:color="auto" w:sz="4" w:space="0"/>
              <w:left w:val="single" w:color="000000" w:sz="4" w:space="0"/>
              <w:bottom w:val="single" w:color="000000" w:sz="4" w:space="0"/>
              <w:right w:val="single" w:color="000000" w:sz="4" w:space="0"/>
            </w:tcBorders>
            <w:vAlign w:val="center"/>
          </w:tcPr>
          <w:p w14:paraId="178019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outlineLvl w:val="2"/>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二、服务质量控制与保障方案（8分）</w:t>
            </w:r>
          </w:p>
          <w:p w14:paraId="64EE03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210" w:firstLineChars="100"/>
              <w:textAlignment w:val="auto"/>
              <w:outlineLvl w:val="2"/>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供应商提供针对本项目的服务质量控制与保障方案；方案包含但不限于质量管控体系建设、设备与试剂保障、异常结果处理等内容；</w:t>
            </w:r>
          </w:p>
          <w:p w14:paraId="4217A4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outlineLvl w:val="2"/>
              <w:rPr>
                <w:rFonts w:hint="eastAsia" w:ascii="黑体" w:hAnsi="黑体" w:eastAsia="黑体" w:cs="黑体"/>
                <w:b w:val="0"/>
                <w:bCs w:val="0"/>
                <w:color w:val="auto"/>
                <w:kern w:val="2"/>
                <w:sz w:val="21"/>
                <w:szCs w:val="21"/>
                <w:highlight w:val="none"/>
                <w:lang w:val="en-US" w:eastAsia="zh-CN" w:bidi="ar-SA"/>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1.方案内容不存在瑕疵，得8分。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2.方案内容存在1处瑕疵，得6分。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3.方案内容存在2处瑕疵，得3分。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4.方案内容存在3处瑕疵，得1分。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5.方案内容存在4处及以上瑕疵或未提供方案，得0分。</w:t>
            </w:r>
          </w:p>
        </w:tc>
        <w:tc>
          <w:tcPr>
            <w:tcW w:w="1004" w:type="pct"/>
            <w:vMerge w:val="continue"/>
            <w:tcBorders>
              <w:left w:val="single" w:color="000000" w:sz="4" w:space="0"/>
              <w:right w:val="single" w:color="000000" w:sz="4" w:space="0"/>
            </w:tcBorders>
            <w:vAlign w:val="center"/>
          </w:tcPr>
          <w:p w14:paraId="1A7464BD">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210" w:firstLineChars="100"/>
              <w:jc w:val="left"/>
              <w:textAlignment w:val="auto"/>
              <w:rPr>
                <w:rFonts w:hint="eastAsia" w:ascii="黑体" w:hAnsi="黑体" w:eastAsia="黑体" w:cs="黑体"/>
                <w:color w:val="auto"/>
                <w:sz w:val="21"/>
                <w:szCs w:val="21"/>
                <w:highlight w:val="none"/>
              </w:rPr>
            </w:pPr>
          </w:p>
        </w:tc>
      </w:tr>
      <w:tr w14:paraId="1BAD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trPr>
        <w:tc>
          <w:tcPr>
            <w:tcW w:w="217" w:type="pct"/>
            <w:vMerge w:val="continue"/>
            <w:tcBorders>
              <w:left w:val="single" w:color="auto" w:sz="4" w:space="0"/>
              <w:bottom w:val="single" w:color="auto" w:sz="4" w:space="0"/>
              <w:right w:val="single" w:color="000000" w:sz="4" w:space="0"/>
            </w:tcBorders>
            <w:vAlign w:val="center"/>
          </w:tcPr>
          <w:p w14:paraId="716A87F3">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614" w:type="pct"/>
            <w:vMerge w:val="continue"/>
            <w:tcBorders>
              <w:left w:val="single" w:color="000000" w:sz="4" w:space="0"/>
              <w:bottom w:val="single" w:color="auto" w:sz="4" w:space="0"/>
              <w:right w:val="single" w:color="000000" w:sz="4" w:space="0"/>
            </w:tcBorders>
            <w:vAlign w:val="center"/>
          </w:tcPr>
          <w:p w14:paraId="4B6163EB">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黑体" w:hAnsi="黑体" w:eastAsia="黑体" w:cs="黑体"/>
                <w:color w:val="auto"/>
                <w:sz w:val="21"/>
                <w:szCs w:val="21"/>
                <w:highlight w:val="none"/>
              </w:rPr>
            </w:pPr>
          </w:p>
        </w:tc>
        <w:tc>
          <w:tcPr>
            <w:tcW w:w="387" w:type="pct"/>
            <w:vMerge w:val="continue"/>
            <w:tcBorders>
              <w:left w:val="single" w:color="000000" w:sz="4" w:space="0"/>
              <w:right w:val="single" w:color="000000" w:sz="4" w:space="0"/>
            </w:tcBorders>
            <w:vAlign w:val="center"/>
          </w:tcPr>
          <w:p w14:paraId="2028F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黑体" w:hAnsi="黑体" w:eastAsia="黑体" w:cs="黑体"/>
                <w:color w:val="auto"/>
                <w:kern w:val="2"/>
                <w:sz w:val="21"/>
                <w:szCs w:val="21"/>
                <w:highlight w:val="none"/>
                <w:lang w:val="en-US" w:eastAsia="zh-CN" w:bidi="ar-SA"/>
              </w:rPr>
            </w:pPr>
          </w:p>
        </w:tc>
        <w:tc>
          <w:tcPr>
            <w:tcW w:w="2775" w:type="pct"/>
            <w:tcBorders>
              <w:top w:val="single" w:color="auto" w:sz="4" w:space="0"/>
              <w:left w:val="single" w:color="000000" w:sz="4" w:space="0"/>
              <w:bottom w:val="single" w:color="000000" w:sz="4" w:space="0"/>
              <w:right w:val="single" w:color="000000" w:sz="4" w:space="0"/>
            </w:tcBorders>
            <w:vAlign w:val="top"/>
          </w:tcPr>
          <w:p w14:paraId="04F3B1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auto"/>
              <w:rPr>
                <w:rFonts w:hint="eastAsia" w:ascii="黑体" w:hAnsi="黑体" w:eastAsia="黑体" w:cs="黑体"/>
                <w:b/>
                <w:bCs/>
                <w:color w:val="000000" w:themeColor="text1"/>
                <w:sz w:val="21"/>
                <w:szCs w:val="21"/>
                <w:highlight w:val="none"/>
                <w14:textFill>
                  <w14:solidFill>
                    <w14:schemeClr w14:val="tx1"/>
                  </w14:solidFill>
                </w14:textFill>
              </w:rPr>
            </w:pPr>
            <w:bookmarkStart w:id="103" w:name="_Toc4211"/>
            <w:bookmarkStart w:id="104" w:name="_Toc24579"/>
            <w:r>
              <w:rPr>
                <w:rFonts w:hint="eastAsia" w:ascii="黑体" w:hAnsi="黑体" w:eastAsia="黑体" w:cs="黑体"/>
                <w:b/>
                <w:bCs/>
                <w:color w:val="000000" w:themeColor="text1"/>
                <w:sz w:val="21"/>
                <w:szCs w:val="21"/>
                <w:highlight w:val="none"/>
                <w:lang w:val="en-US" w:eastAsia="zh-CN"/>
                <w14:textFill>
                  <w14:solidFill>
                    <w14:schemeClr w14:val="tx1"/>
                  </w14:solidFill>
                </w14:textFill>
              </w:rPr>
              <w:t>三、</w:t>
            </w:r>
            <w:r>
              <w:rPr>
                <w:rFonts w:hint="eastAsia" w:ascii="黑体" w:hAnsi="黑体" w:eastAsia="黑体" w:cs="黑体"/>
                <w:b/>
                <w:bCs/>
                <w:color w:val="000000" w:themeColor="text1"/>
                <w:sz w:val="21"/>
                <w:szCs w:val="21"/>
                <w:highlight w:val="none"/>
                <w14:textFill>
                  <w14:solidFill>
                    <w14:schemeClr w14:val="tx1"/>
                  </w14:solidFill>
                </w14:textFill>
              </w:rPr>
              <w:t>健康档案管理及检后服务方案（</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8</w:t>
            </w:r>
            <w:r>
              <w:rPr>
                <w:rFonts w:hint="eastAsia" w:ascii="黑体" w:hAnsi="黑体" w:eastAsia="黑体" w:cs="黑体"/>
                <w:b/>
                <w:bCs/>
                <w:color w:val="000000" w:themeColor="text1"/>
                <w:sz w:val="21"/>
                <w:szCs w:val="21"/>
                <w:highlight w:val="none"/>
                <w14:textFill>
                  <w14:solidFill>
                    <w14:schemeClr w14:val="tx1"/>
                  </w14:solidFill>
                </w14:textFill>
              </w:rPr>
              <w:t>分）</w:t>
            </w:r>
            <w:bookmarkEnd w:id="103"/>
            <w:bookmarkEnd w:id="104"/>
          </w:p>
          <w:p w14:paraId="5AF9D0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210" w:firstLineChars="100"/>
              <w:jc w:val="both"/>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供应商提供针对本项目的健康档案管理及检后服务方案；</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1.方案内容不存在瑕疵，得8分。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2.方案内容存在1处瑕疵，得6分。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3.方案内容存在2处瑕疵，得3分。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4.方案内容存在3处瑕疵，得1分。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5.方案内容存在4处及以上瑕疵或未提供方案，得0分。</w:t>
            </w:r>
          </w:p>
        </w:tc>
        <w:tc>
          <w:tcPr>
            <w:tcW w:w="1004" w:type="pct"/>
            <w:vMerge w:val="continue"/>
            <w:tcBorders>
              <w:left w:val="single" w:color="000000" w:sz="4" w:space="0"/>
              <w:bottom w:val="single" w:color="000000" w:sz="4" w:space="0"/>
              <w:right w:val="single" w:color="000000" w:sz="4" w:space="0"/>
            </w:tcBorders>
            <w:vAlign w:val="center"/>
          </w:tcPr>
          <w:p w14:paraId="43A4FA53">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210" w:firstLineChars="100"/>
              <w:jc w:val="left"/>
              <w:textAlignment w:val="auto"/>
              <w:rPr>
                <w:rFonts w:hint="eastAsia" w:ascii="黑体" w:hAnsi="黑体" w:eastAsia="黑体" w:cs="黑体"/>
                <w:color w:val="auto"/>
                <w:kern w:val="2"/>
                <w:sz w:val="21"/>
                <w:szCs w:val="21"/>
                <w:highlight w:val="none"/>
                <w:lang w:val="en-US" w:eastAsia="zh-CN" w:bidi="ar-SA"/>
              </w:rPr>
            </w:pPr>
          </w:p>
        </w:tc>
      </w:tr>
      <w:tr w14:paraId="111C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trPr>
        <w:tc>
          <w:tcPr>
            <w:tcW w:w="217" w:type="pct"/>
            <w:vMerge w:val="continue"/>
            <w:tcBorders>
              <w:left w:val="single" w:color="auto" w:sz="4" w:space="0"/>
              <w:bottom w:val="single" w:color="auto" w:sz="4" w:space="0"/>
              <w:right w:val="single" w:color="000000" w:sz="4" w:space="0"/>
            </w:tcBorders>
            <w:vAlign w:val="center"/>
          </w:tcPr>
          <w:p w14:paraId="55B02BFC">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614" w:type="pct"/>
            <w:vMerge w:val="continue"/>
            <w:tcBorders>
              <w:left w:val="single" w:color="000000" w:sz="4" w:space="0"/>
              <w:bottom w:val="single" w:color="auto" w:sz="4" w:space="0"/>
              <w:right w:val="single" w:color="000000" w:sz="4" w:space="0"/>
            </w:tcBorders>
            <w:vAlign w:val="center"/>
          </w:tcPr>
          <w:p w14:paraId="0F1EF633">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黑体" w:hAnsi="黑体" w:eastAsia="黑体" w:cs="黑体"/>
                <w:color w:val="auto"/>
                <w:sz w:val="21"/>
                <w:szCs w:val="21"/>
                <w:highlight w:val="none"/>
              </w:rPr>
            </w:pPr>
          </w:p>
        </w:tc>
        <w:tc>
          <w:tcPr>
            <w:tcW w:w="387" w:type="pct"/>
            <w:vMerge w:val="continue"/>
            <w:tcBorders>
              <w:left w:val="single" w:color="000000" w:sz="4" w:space="0"/>
              <w:bottom w:val="single" w:color="000000" w:sz="4" w:space="0"/>
              <w:right w:val="single" w:color="000000" w:sz="4" w:space="0"/>
            </w:tcBorders>
            <w:vAlign w:val="center"/>
          </w:tcPr>
          <w:p w14:paraId="37DFB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黑体" w:hAnsi="黑体" w:eastAsia="黑体" w:cs="黑体"/>
                <w:color w:val="auto"/>
                <w:kern w:val="2"/>
                <w:sz w:val="21"/>
                <w:szCs w:val="21"/>
                <w:highlight w:val="none"/>
                <w:lang w:val="en-US" w:eastAsia="zh-CN" w:bidi="ar-SA"/>
              </w:rPr>
            </w:pPr>
          </w:p>
        </w:tc>
        <w:tc>
          <w:tcPr>
            <w:tcW w:w="2775" w:type="pct"/>
            <w:tcBorders>
              <w:top w:val="single" w:color="auto" w:sz="4" w:space="0"/>
              <w:left w:val="single" w:color="000000" w:sz="4" w:space="0"/>
              <w:bottom w:val="single" w:color="000000" w:sz="4" w:space="0"/>
              <w:right w:val="single" w:color="000000" w:sz="4" w:space="0"/>
            </w:tcBorders>
            <w:vAlign w:val="top"/>
          </w:tcPr>
          <w:p w14:paraId="72AD84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auto"/>
              <w:rPr>
                <w:rFonts w:hint="eastAsia" w:ascii="黑体" w:hAnsi="黑体" w:eastAsia="黑体" w:cs="黑体"/>
                <w:b/>
                <w:bCs/>
                <w:color w:val="000000" w:themeColor="text1"/>
                <w:sz w:val="21"/>
                <w:szCs w:val="21"/>
                <w:highlight w:val="none"/>
                <w:lang w:val="en-US" w:eastAsia="zh-CN"/>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四、体检应急保障方案（8分）</w:t>
            </w:r>
          </w:p>
          <w:p w14:paraId="4F25A2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210" w:firstLineChars="100"/>
              <w:jc w:val="both"/>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供应商提供针对本项目的体检应急保障方案；方案包含不限于体检设施的应急准备、体检服务人员的应急保障、体检流程的应急保障等内容；</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1.方案内容不存在瑕疵，得8分，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2.方案内容存在1处瑕疵，得6分，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3.方案内容存在2处瑕疵，得3分，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4.方案内容存在3处瑕疵，得1分，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5.方案内容存在4处及以上瑕疵或未提供方案，得0分。</w:t>
            </w:r>
          </w:p>
        </w:tc>
        <w:tc>
          <w:tcPr>
            <w:tcW w:w="1004" w:type="pct"/>
            <w:vMerge w:val="continue"/>
            <w:tcBorders>
              <w:left w:val="single" w:color="000000" w:sz="4" w:space="0"/>
              <w:bottom w:val="single" w:color="000000" w:sz="4" w:space="0"/>
              <w:right w:val="single" w:color="000000" w:sz="4" w:space="0"/>
            </w:tcBorders>
            <w:vAlign w:val="center"/>
          </w:tcPr>
          <w:p w14:paraId="36836D2E">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210" w:firstLineChars="100"/>
              <w:jc w:val="left"/>
              <w:textAlignment w:val="auto"/>
              <w:rPr>
                <w:rFonts w:hint="eastAsia" w:ascii="黑体" w:hAnsi="黑体" w:eastAsia="黑体" w:cs="黑体"/>
                <w:color w:val="auto"/>
                <w:kern w:val="2"/>
                <w:sz w:val="21"/>
                <w:szCs w:val="21"/>
                <w:highlight w:val="none"/>
                <w:lang w:val="en-US" w:eastAsia="zh-CN" w:bidi="ar-SA"/>
              </w:rPr>
            </w:pPr>
          </w:p>
        </w:tc>
      </w:tr>
      <w:tr w14:paraId="2C9A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0" w:hRule="atLeast"/>
        </w:trPr>
        <w:tc>
          <w:tcPr>
            <w:tcW w:w="217" w:type="pct"/>
            <w:vMerge w:val="continue"/>
            <w:tcBorders>
              <w:left w:val="single" w:color="auto" w:sz="4" w:space="0"/>
              <w:bottom w:val="single" w:color="auto" w:sz="4" w:space="0"/>
              <w:right w:val="single" w:color="000000" w:sz="4" w:space="0"/>
            </w:tcBorders>
            <w:vAlign w:val="center"/>
          </w:tcPr>
          <w:p w14:paraId="20829B6D">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614" w:type="pct"/>
            <w:vMerge w:val="continue"/>
            <w:tcBorders>
              <w:left w:val="single" w:color="000000" w:sz="4" w:space="0"/>
              <w:bottom w:val="single" w:color="auto" w:sz="4" w:space="0"/>
              <w:right w:val="single" w:color="000000" w:sz="4" w:space="0"/>
            </w:tcBorders>
            <w:vAlign w:val="center"/>
          </w:tcPr>
          <w:p w14:paraId="17D3765F">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textAlignment w:val="auto"/>
              <w:rPr>
                <w:rFonts w:hint="eastAsia" w:ascii="黑体" w:hAnsi="黑体" w:eastAsia="黑体" w:cs="黑体"/>
                <w:color w:val="auto"/>
                <w:sz w:val="21"/>
                <w:szCs w:val="21"/>
                <w:highlight w:val="none"/>
              </w:rPr>
            </w:pPr>
          </w:p>
        </w:tc>
        <w:tc>
          <w:tcPr>
            <w:tcW w:w="387" w:type="pct"/>
            <w:tcBorders>
              <w:left w:val="single" w:color="000000" w:sz="4" w:space="0"/>
              <w:bottom w:val="single" w:color="000000" w:sz="4" w:space="0"/>
              <w:right w:val="single" w:color="000000" w:sz="4" w:space="0"/>
            </w:tcBorders>
            <w:vAlign w:val="center"/>
          </w:tcPr>
          <w:p w14:paraId="7EC84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黑体" w:hAnsi="黑体" w:eastAsia="黑体" w:cs="黑体"/>
                <w:color w:val="auto"/>
                <w:kern w:val="2"/>
                <w:sz w:val="21"/>
                <w:szCs w:val="21"/>
                <w:highlight w:val="none"/>
                <w:lang w:val="en-US" w:eastAsia="zh-CN" w:bidi="ar-SA"/>
              </w:rPr>
            </w:pPr>
          </w:p>
        </w:tc>
        <w:tc>
          <w:tcPr>
            <w:tcW w:w="2775" w:type="pct"/>
            <w:tcBorders>
              <w:top w:val="single" w:color="auto" w:sz="4" w:space="0"/>
              <w:left w:val="single" w:color="000000" w:sz="4" w:space="0"/>
              <w:bottom w:val="single" w:color="000000" w:sz="4" w:space="0"/>
              <w:right w:val="single" w:color="000000" w:sz="4" w:space="0"/>
            </w:tcBorders>
            <w:vAlign w:val="center"/>
          </w:tcPr>
          <w:p w14:paraId="255590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auto"/>
              <w:rPr>
                <w:rFonts w:hint="eastAsia"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（五）增值服务（18分）</w:t>
            </w:r>
          </w:p>
          <w:p w14:paraId="4853DD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211" w:firstLineChars="100"/>
              <w:jc w:val="both"/>
              <w:textAlignment w:val="auto"/>
              <w:rPr>
                <w:rFonts w:hint="eastAsia" w:ascii="黑体" w:hAnsi="黑体" w:eastAsia="黑体" w:cs="黑体"/>
                <w:i w:val="0"/>
                <w:iCs w:val="0"/>
                <w:caps w:val="0"/>
                <w:color w:val="0F1115"/>
                <w:spacing w:val="0"/>
                <w:sz w:val="21"/>
                <w:szCs w:val="21"/>
                <w:shd w:val="clear" w:fill="FFFFFF"/>
              </w:rPr>
            </w:pPr>
            <w:r>
              <w:rPr>
                <w:rFonts w:hint="eastAsia" w:ascii="黑体" w:hAnsi="黑体" w:eastAsia="黑体" w:cs="黑体"/>
                <w:b/>
                <w:bCs/>
                <w:color w:val="auto"/>
                <w:kern w:val="2"/>
                <w:sz w:val="21"/>
                <w:szCs w:val="21"/>
                <w:highlight w:val="none"/>
                <w:lang w:val="en-US" w:eastAsia="zh-CN" w:bidi="ar-SA"/>
              </w:rPr>
              <w:t>（一）</w:t>
            </w:r>
            <w:r>
              <w:rPr>
                <w:rStyle w:val="62"/>
                <w:rFonts w:hint="eastAsia" w:ascii="黑体" w:hAnsi="黑体" w:eastAsia="黑体" w:cs="黑体"/>
                <w:b/>
                <w:bCs/>
                <w:i w:val="0"/>
                <w:iCs w:val="0"/>
                <w:caps w:val="0"/>
                <w:color w:val="0F1115"/>
                <w:spacing w:val="0"/>
                <w:sz w:val="21"/>
                <w:szCs w:val="21"/>
                <w:shd w:val="clear" w:fill="FFFFFF"/>
              </w:rPr>
              <w:t>免费服务承诺（1</w:t>
            </w:r>
            <w:r>
              <w:rPr>
                <w:rStyle w:val="62"/>
                <w:rFonts w:hint="eastAsia" w:ascii="黑体" w:hAnsi="黑体" w:eastAsia="黑体" w:cs="黑体"/>
                <w:b/>
                <w:bCs/>
                <w:i w:val="0"/>
                <w:iCs w:val="0"/>
                <w:caps w:val="0"/>
                <w:color w:val="0F1115"/>
                <w:spacing w:val="0"/>
                <w:sz w:val="21"/>
                <w:szCs w:val="21"/>
                <w:shd w:val="clear" w:fill="FFFFFF"/>
                <w:lang w:val="en-US" w:eastAsia="zh-CN"/>
              </w:rPr>
              <w:t>4</w:t>
            </w:r>
            <w:r>
              <w:rPr>
                <w:rStyle w:val="62"/>
                <w:rFonts w:hint="eastAsia" w:ascii="黑体" w:hAnsi="黑体" w:eastAsia="黑体" w:cs="黑体"/>
                <w:b/>
                <w:bCs/>
                <w:i w:val="0"/>
                <w:iCs w:val="0"/>
                <w:caps w:val="0"/>
                <w:color w:val="0F1115"/>
                <w:spacing w:val="0"/>
                <w:sz w:val="21"/>
                <w:szCs w:val="21"/>
                <w:shd w:val="clear" w:fill="FFFFFF"/>
              </w:rPr>
              <w:t>分）</w:t>
            </w:r>
            <w:r>
              <w:rPr>
                <w:rFonts w:hint="eastAsia" w:ascii="黑体" w:hAnsi="黑体" w:eastAsia="黑体" w:cs="黑体"/>
                <w:i w:val="0"/>
                <w:iCs w:val="0"/>
                <w:caps w:val="0"/>
                <w:color w:val="0F1115"/>
                <w:spacing w:val="0"/>
                <w:sz w:val="21"/>
                <w:szCs w:val="21"/>
                <w:shd w:val="clear" w:fill="FFFFFF"/>
              </w:rPr>
              <w:t>：供应商承诺在服务期内，免费为学校大型活动及新生军训期间提供急救医疗及120转诊服务，并免费派驻一名医生驻守军训现场医疗点，同时免费提供日常医疗咨询服务的，得10分。</w:t>
            </w:r>
          </w:p>
          <w:p w14:paraId="21C6C9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420" w:firstLineChars="200"/>
              <w:jc w:val="left"/>
              <w:textAlignment w:val="auto"/>
              <w:rPr>
                <w:rFonts w:hint="eastAsia" w:ascii="黑体" w:hAnsi="黑体" w:eastAsia="黑体" w:cs="黑体"/>
                <w:i w:val="0"/>
                <w:iCs w:val="0"/>
                <w:caps w:val="0"/>
                <w:color w:val="0F1115"/>
                <w:spacing w:val="0"/>
                <w:sz w:val="21"/>
                <w:szCs w:val="21"/>
                <w:shd w:val="clear" w:fill="FFFFFF"/>
                <w:lang w:eastAsia="zh-CN"/>
              </w:rPr>
            </w:pPr>
            <w:r>
              <w:rPr>
                <w:rFonts w:hint="eastAsia" w:ascii="黑体" w:hAnsi="黑体" w:eastAsia="黑体" w:cs="黑体"/>
                <w:i w:val="0"/>
                <w:iCs w:val="0"/>
                <w:caps w:val="0"/>
                <w:color w:val="0F1115"/>
                <w:spacing w:val="0"/>
                <w:sz w:val="21"/>
                <w:szCs w:val="21"/>
                <w:shd w:val="clear" w:fill="FFFFFF"/>
              </w:rPr>
              <w:t>在满足前述承诺的基础上，能额外提供体系化的健康讲座方案（每学期不少于2次，方案需包含讲座主题、讲师资质、时长安排等具体内容），且方案科学合理、具有可操作性的，加</w:t>
            </w:r>
            <w:r>
              <w:rPr>
                <w:rFonts w:hint="eastAsia" w:ascii="黑体" w:hAnsi="黑体" w:eastAsia="黑体" w:cs="黑体"/>
                <w:i w:val="0"/>
                <w:iCs w:val="0"/>
                <w:caps w:val="0"/>
                <w:color w:val="0F1115"/>
                <w:spacing w:val="0"/>
                <w:sz w:val="21"/>
                <w:szCs w:val="21"/>
                <w:shd w:val="clear" w:fill="FFFFFF"/>
                <w:lang w:val="en-US" w:eastAsia="zh-CN"/>
              </w:rPr>
              <w:t>4</w:t>
            </w:r>
            <w:r>
              <w:rPr>
                <w:rFonts w:hint="eastAsia" w:ascii="黑体" w:hAnsi="黑体" w:eastAsia="黑体" w:cs="黑体"/>
                <w:i w:val="0"/>
                <w:iCs w:val="0"/>
                <w:caps w:val="0"/>
                <w:color w:val="0F1115"/>
                <w:spacing w:val="0"/>
                <w:sz w:val="21"/>
                <w:szCs w:val="21"/>
                <w:shd w:val="clear" w:fill="FFFFFF"/>
              </w:rPr>
              <w:t>分。本项最高得1</w:t>
            </w:r>
            <w:r>
              <w:rPr>
                <w:rFonts w:hint="eastAsia" w:ascii="黑体" w:hAnsi="黑体" w:eastAsia="黑体" w:cs="黑体"/>
                <w:i w:val="0"/>
                <w:iCs w:val="0"/>
                <w:caps w:val="0"/>
                <w:color w:val="0F1115"/>
                <w:spacing w:val="0"/>
                <w:sz w:val="21"/>
                <w:szCs w:val="21"/>
                <w:shd w:val="clear" w:fill="FFFFFF"/>
                <w:lang w:val="en-US" w:eastAsia="zh-CN"/>
              </w:rPr>
              <w:t>4</w:t>
            </w:r>
            <w:r>
              <w:rPr>
                <w:rFonts w:hint="eastAsia" w:ascii="黑体" w:hAnsi="黑体" w:eastAsia="黑体" w:cs="黑体"/>
                <w:i w:val="0"/>
                <w:iCs w:val="0"/>
                <w:caps w:val="0"/>
                <w:color w:val="0F1115"/>
                <w:spacing w:val="0"/>
                <w:sz w:val="21"/>
                <w:szCs w:val="21"/>
                <w:shd w:val="clear" w:fill="FFFFFF"/>
              </w:rPr>
              <w:t>分</w:t>
            </w:r>
            <w:r>
              <w:rPr>
                <w:rFonts w:hint="eastAsia" w:ascii="黑体" w:hAnsi="黑体" w:eastAsia="黑体" w:cs="黑体"/>
                <w:i w:val="0"/>
                <w:iCs w:val="0"/>
                <w:caps w:val="0"/>
                <w:color w:val="0F1115"/>
                <w:spacing w:val="0"/>
                <w:sz w:val="21"/>
                <w:szCs w:val="21"/>
                <w:shd w:val="clear" w:fill="FFFFFF"/>
                <w:lang w:eastAsia="zh-CN"/>
              </w:rPr>
              <w:t>。</w:t>
            </w:r>
          </w:p>
          <w:p w14:paraId="0257D7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211" w:firstLineChars="100"/>
              <w:jc w:val="left"/>
              <w:textAlignment w:val="auto"/>
              <w:rPr>
                <w:rFonts w:hint="eastAsia" w:ascii="黑体" w:hAnsi="黑体" w:eastAsia="黑体" w:cs="黑体"/>
                <w:color w:val="000000" w:themeColor="text1"/>
                <w:sz w:val="21"/>
                <w:szCs w:val="21"/>
                <w:highlight w:val="none"/>
                <w:lang w:val="en-US" w:eastAsia="zh-CN"/>
                <w14:textFill>
                  <w14:solidFill>
                    <w14:schemeClr w14:val="tx1"/>
                  </w14:solidFill>
                </w14:textFill>
              </w:rPr>
            </w:pPr>
            <w:r>
              <w:rPr>
                <w:rStyle w:val="62"/>
                <w:rFonts w:hint="eastAsia" w:ascii="黑体" w:hAnsi="黑体" w:eastAsia="黑体" w:cs="黑体"/>
                <w:b/>
                <w:bCs/>
                <w:i w:val="0"/>
                <w:iCs w:val="0"/>
                <w:caps w:val="0"/>
                <w:color w:val="0F1115"/>
                <w:spacing w:val="0"/>
                <w:sz w:val="21"/>
                <w:szCs w:val="21"/>
                <w:shd w:val="clear" w:fill="FFFFFF"/>
                <w:lang w:eastAsia="zh-CN"/>
              </w:rPr>
              <w:t>（</w:t>
            </w:r>
            <w:r>
              <w:rPr>
                <w:rStyle w:val="62"/>
                <w:rFonts w:hint="eastAsia" w:ascii="黑体" w:hAnsi="黑体" w:eastAsia="黑体" w:cs="黑体"/>
                <w:b/>
                <w:bCs/>
                <w:i w:val="0"/>
                <w:iCs w:val="0"/>
                <w:caps w:val="0"/>
                <w:color w:val="0F1115"/>
                <w:spacing w:val="0"/>
                <w:sz w:val="21"/>
                <w:szCs w:val="21"/>
                <w:shd w:val="clear" w:fill="FFFFFF"/>
                <w:lang w:val="en-US" w:eastAsia="zh-CN"/>
              </w:rPr>
              <w:t>二）</w:t>
            </w:r>
            <w:r>
              <w:rPr>
                <w:rStyle w:val="62"/>
                <w:rFonts w:hint="eastAsia" w:ascii="黑体" w:hAnsi="黑体" w:eastAsia="黑体" w:cs="黑体"/>
                <w:b/>
                <w:bCs/>
                <w:i w:val="0"/>
                <w:iCs w:val="0"/>
                <w:caps w:val="0"/>
                <w:color w:val="0F1115"/>
                <w:spacing w:val="0"/>
                <w:sz w:val="21"/>
                <w:szCs w:val="21"/>
                <w:shd w:val="clear" w:fill="FFFFFF"/>
              </w:rPr>
              <w:t>增值服务方案完整性（</w:t>
            </w:r>
            <w:r>
              <w:rPr>
                <w:rStyle w:val="62"/>
                <w:rFonts w:hint="eastAsia" w:ascii="黑体" w:hAnsi="黑体" w:eastAsia="黑体" w:cs="黑体"/>
                <w:b/>
                <w:bCs/>
                <w:i w:val="0"/>
                <w:iCs w:val="0"/>
                <w:caps w:val="0"/>
                <w:color w:val="0F1115"/>
                <w:spacing w:val="0"/>
                <w:sz w:val="21"/>
                <w:szCs w:val="21"/>
                <w:shd w:val="clear" w:fill="FFFFFF"/>
                <w:lang w:val="en-US" w:eastAsia="zh-CN"/>
              </w:rPr>
              <w:t>4</w:t>
            </w:r>
            <w:r>
              <w:rPr>
                <w:rStyle w:val="62"/>
                <w:rFonts w:hint="eastAsia" w:ascii="黑体" w:hAnsi="黑体" w:eastAsia="黑体" w:cs="黑体"/>
                <w:b/>
                <w:bCs/>
                <w:i w:val="0"/>
                <w:iCs w:val="0"/>
                <w:caps w:val="0"/>
                <w:color w:val="0F1115"/>
                <w:spacing w:val="0"/>
                <w:sz w:val="21"/>
                <w:szCs w:val="21"/>
                <w:shd w:val="clear" w:fill="FFFFFF"/>
              </w:rPr>
              <w:t>分）</w:t>
            </w:r>
            <w:r>
              <w:rPr>
                <w:rFonts w:hint="eastAsia" w:ascii="黑体" w:hAnsi="黑体" w:eastAsia="黑体" w:cs="黑体"/>
                <w:i w:val="0"/>
                <w:iCs w:val="0"/>
                <w:caps w:val="0"/>
                <w:color w:val="0F1115"/>
                <w:spacing w:val="0"/>
                <w:sz w:val="21"/>
                <w:szCs w:val="21"/>
                <w:shd w:val="clear" w:fill="FFFFFF"/>
              </w:rPr>
              <w:t>：供应商针对上述第1款中承诺的各项服务，编制了详细、完整的实施方案</w:t>
            </w:r>
            <w:r>
              <w:rPr>
                <w:rFonts w:hint="eastAsia" w:ascii="黑体" w:hAnsi="黑体" w:eastAsia="黑体" w:cs="黑体"/>
                <w:i w:val="0"/>
                <w:iCs w:val="0"/>
                <w:caps w:val="0"/>
                <w:color w:val="0F1115"/>
                <w:spacing w:val="0"/>
                <w:sz w:val="21"/>
                <w:szCs w:val="21"/>
                <w:shd w:val="clear" w:fill="FFFFFF"/>
                <w:lang w:eastAsia="zh-CN"/>
              </w:rPr>
              <w:t>，</w:t>
            </w:r>
            <w:r>
              <w:rPr>
                <w:rFonts w:hint="eastAsia" w:ascii="黑体" w:hAnsi="黑体" w:eastAsia="黑体" w:cs="黑体"/>
                <w:i w:val="0"/>
                <w:iCs w:val="0"/>
                <w:caps w:val="0"/>
                <w:color w:val="0F1115"/>
                <w:spacing w:val="0"/>
                <w:sz w:val="21"/>
                <w:szCs w:val="21"/>
                <w:shd w:val="clear" w:fill="FFFFFF"/>
                <w:lang w:val="en-US" w:eastAsia="zh-CN"/>
              </w:rPr>
              <w:t>方案</w:t>
            </w:r>
            <w:r>
              <w:rPr>
                <w:rFonts w:hint="eastAsia" w:ascii="黑体" w:hAnsi="黑体" w:eastAsia="黑体" w:cs="黑体"/>
                <w:i w:val="0"/>
                <w:iCs w:val="0"/>
                <w:caps w:val="0"/>
                <w:color w:val="0F1115"/>
                <w:spacing w:val="0"/>
                <w:sz w:val="21"/>
                <w:szCs w:val="21"/>
                <w:shd w:val="clear" w:fill="FFFFFF"/>
              </w:rPr>
              <w:t>包括但不限于人员配置、响应时间、应急流程、设备清单等</w:t>
            </w:r>
            <w:r>
              <w:rPr>
                <w:rFonts w:hint="eastAsia" w:ascii="黑体" w:hAnsi="黑体" w:eastAsia="黑体" w:cs="黑体"/>
                <w:i w:val="0"/>
                <w:iCs w:val="0"/>
                <w:caps w:val="0"/>
                <w:color w:val="0F1115"/>
                <w:spacing w:val="0"/>
                <w:sz w:val="21"/>
                <w:szCs w:val="21"/>
                <w:shd w:val="clear" w:fill="FFFFFF"/>
                <w:lang w:val="en-US" w:eastAsia="zh-CN"/>
              </w:rPr>
              <w:t>内容；要求</w:t>
            </w:r>
            <w:r>
              <w:rPr>
                <w:rFonts w:hint="eastAsia" w:ascii="黑体" w:hAnsi="黑体" w:eastAsia="黑体" w:cs="黑体"/>
                <w:i w:val="0"/>
                <w:iCs w:val="0"/>
                <w:caps w:val="0"/>
                <w:color w:val="0F1115"/>
                <w:spacing w:val="0"/>
                <w:sz w:val="21"/>
                <w:szCs w:val="21"/>
                <w:shd w:val="clear" w:fill="FFFFFF"/>
              </w:rPr>
              <w:t>内容全面、逻辑清晰、切实可行</w:t>
            </w:r>
            <w:r>
              <w:rPr>
                <w:rFonts w:hint="eastAsia" w:ascii="黑体" w:hAnsi="黑体" w:eastAsia="黑体" w:cs="黑体"/>
                <w:i w:val="0"/>
                <w:iCs w:val="0"/>
                <w:caps w:val="0"/>
                <w:color w:val="0F1115"/>
                <w:spacing w:val="0"/>
                <w:sz w:val="21"/>
                <w:szCs w:val="21"/>
                <w:shd w:val="clear" w:fill="FFFFFF"/>
                <w:lang w:eastAsia="zh-CN"/>
              </w:rPr>
              <w:t>。</w:t>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w:t>
            </w:r>
          </w:p>
          <w:p w14:paraId="07F4A0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210" w:firstLineChars="100"/>
              <w:jc w:val="left"/>
              <w:textAlignment w:val="auto"/>
              <w:rPr>
                <w:rFonts w:hint="eastAsia" w:ascii="Segoe UI" w:hAnsi="Segoe UI" w:eastAsia="黑体" w:cs="Segoe UI"/>
                <w:i w:val="0"/>
                <w:iCs w:val="0"/>
                <w:caps w:val="0"/>
                <w:color w:val="0F1115"/>
                <w:spacing w:val="0"/>
                <w:sz w:val="24"/>
                <w:szCs w:val="24"/>
                <w:shd w:val="clear" w:fill="FFFFFF"/>
                <w:lang w:val="en-US" w:eastAsia="zh-CN"/>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1.方案内容不存在瑕疵，得4分；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2.方案内容存在1处瑕疵，得2分；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3.方案内容存在2处瑕疵，得1分；</w:t>
            </w:r>
            <w:r>
              <w:rPr>
                <w:rFonts w:hint="eastAsia" w:ascii="黑体" w:hAnsi="黑体" w:eastAsia="黑体" w:cs="黑体"/>
                <w:color w:val="000000" w:themeColor="text1"/>
                <w:sz w:val="21"/>
                <w:szCs w:val="21"/>
                <w:highlight w:val="none"/>
                <w:lang w:val="en-US" w:eastAsia="zh-CN"/>
                <w14:textFill>
                  <w14:solidFill>
                    <w14:schemeClr w14:val="tx1"/>
                  </w14:solidFill>
                </w14:textFill>
              </w:rPr>
              <w:br w:type="textWrapping"/>
            </w: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4.方案内容存在3处及以上瑕疵或未提供方案，得0分。</w:t>
            </w:r>
          </w:p>
        </w:tc>
        <w:tc>
          <w:tcPr>
            <w:tcW w:w="1004" w:type="pct"/>
            <w:vMerge w:val="continue"/>
            <w:tcBorders>
              <w:left w:val="single" w:color="000000" w:sz="4" w:space="0"/>
              <w:bottom w:val="single" w:color="000000" w:sz="4" w:space="0"/>
              <w:right w:val="single" w:color="000000" w:sz="4" w:space="0"/>
            </w:tcBorders>
            <w:vAlign w:val="center"/>
          </w:tcPr>
          <w:p w14:paraId="45059FE8">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210" w:firstLineChars="100"/>
              <w:jc w:val="left"/>
              <w:textAlignment w:val="auto"/>
              <w:rPr>
                <w:rFonts w:hint="eastAsia" w:ascii="黑体" w:hAnsi="黑体" w:eastAsia="黑体" w:cs="黑体"/>
                <w:color w:val="auto"/>
                <w:kern w:val="2"/>
                <w:sz w:val="21"/>
                <w:szCs w:val="21"/>
                <w:highlight w:val="none"/>
                <w:lang w:val="en-US" w:eastAsia="zh-CN" w:bidi="ar-SA"/>
              </w:rPr>
            </w:pPr>
          </w:p>
        </w:tc>
      </w:tr>
      <w:tr w14:paraId="41B0C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2" w:hRule="atLeast"/>
        </w:trPr>
        <w:tc>
          <w:tcPr>
            <w:tcW w:w="217" w:type="pct"/>
            <w:vMerge w:val="restart"/>
            <w:tcBorders>
              <w:left w:val="single" w:color="auto" w:sz="4" w:space="0"/>
              <w:right w:val="single" w:color="000000" w:sz="4" w:space="0"/>
            </w:tcBorders>
            <w:vAlign w:val="center"/>
          </w:tcPr>
          <w:p w14:paraId="35CA8B50">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w:t>
            </w:r>
          </w:p>
        </w:tc>
        <w:tc>
          <w:tcPr>
            <w:tcW w:w="614" w:type="pct"/>
            <w:vMerge w:val="restart"/>
            <w:tcBorders>
              <w:left w:val="single" w:color="000000" w:sz="4" w:space="0"/>
              <w:right w:val="single" w:color="000000" w:sz="4" w:space="0"/>
            </w:tcBorders>
            <w:vAlign w:val="center"/>
          </w:tcPr>
          <w:p w14:paraId="7B1C7D92">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商务</w:t>
            </w:r>
          </w:p>
          <w:p w14:paraId="66B66306">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部分</w:t>
            </w:r>
          </w:p>
          <w:p w14:paraId="10F3CBCD">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w:t>
            </w:r>
            <w:r>
              <w:rPr>
                <w:rFonts w:hint="eastAsia" w:ascii="黑体" w:hAnsi="黑体" w:eastAsia="黑体" w:cs="黑体"/>
                <w:color w:val="auto"/>
                <w:sz w:val="21"/>
                <w:szCs w:val="21"/>
                <w:highlight w:val="none"/>
                <w:lang w:val="en-US" w:eastAsia="zh-CN"/>
              </w:rPr>
              <w:t>40</w:t>
            </w:r>
            <w:r>
              <w:rPr>
                <w:rFonts w:hint="eastAsia" w:ascii="黑体" w:hAnsi="黑体" w:eastAsia="黑体" w:cs="黑体"/>
                <w:color w:val="auto"/>
                <w:sz w:val="21"/>
                <w:szCs w:val="21"/>
                <w:highlight w:val="none"/>
              </w:rPr>
              <w:t>%）</w:t>
            </w:r>
          </w:p>
        </w:tc>
        <w:tc>
          <w:tcPr>
            <w:tcW w:w="387" w:type="pct"/>
            <w:vMerge w:val="restart"/>
            <w:tcBorders>
              <w:top w:val="single" w:color="auto" w:sz="4" w:space="0"/>
              <w:left w:val="single" w:color="000000" w:sz="4" w:space="0"/>
              <w:right w:val="single" w:color="000000" w:sz="4" w:space="0"/>
            </w:tcBorders>
            <w:vAlign w:val="center"/>
          </w:tcPr>
          <w:p w14:paraId="2E866576">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40分</w:t>
            </w:r>
          </w:p>
        </w:tc>
        <w:tc>
          <w:tcPr>
            <w:tcW w:w="2775" w:type="pct"/>
            <w:tcBorders>
              <w:top w:val="single" w:color="auto" w:sz="4" w:space="0"/>
              <w:left w:val="single" w:color="000000" w:sz="4" w:space="0"/>
              <w:bottom w:val="single" w:color="000000" w:sz="4" w:space="0"/>
              <w:right w:val="single" w:color="000000" w:sz="4" w:space="0"/>
            </w:tcBorders>
            <w:vAlign w:val="center"/>
          </w:tcPr>
          <w:p w14:paraId="2C2DDC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auto"/>
              <w:rPr>
                <w:rFonts w:hint="eastAsia" w:ascii="黑体" w:hAnsi="黑体" w:eastAsia="黑体" w:cs="黑体"/>
                <w:b/>
                <w:bCs/>
                <w:i w:val="0"/>
                <w:iCs w:val="0"/>
                <w:color w:val="auto"/>
                <w:kern w:val="0"/>
                <w:sz w:val="21"/>
                <w:szCs w:val="21"/>
                <w:highlight w:val="none"/>
                <w:u w:val="none"/>
                <w:lang w:val="en-US" w:eastAsia="zh-CN" w:bidi="ar"/>
              </w:rPr>
            </w:pPr>
            <w:r>
              <w:rPr>
                <w:rFonts w:hint="eastAsia" w:ascii="黑体" w:hAnsi="黑体" w:eastAsia="黑体" w:cs="黑体"/>
                <w:b/>
                <w:bCs/>
                <w:i w:val="0"/>
                <w:iCs w:val="0"/>
                <w:color w:val="auto"/>
                <w:kern w:val="0"/>
                <w:sz w:val="21"/>
                <w:szCs w:val="21"/>
                <w:highlight w:val="none"/>
                <w:u w:val="none"/>
                <w:lang w:val="en-US" w:eastAsia="zh-CN" w:bidi="ar"/>
              </w:rPr>
              <w:t>一、专业体检车（12分）</w:t>
            </w:r>
          </w:p>
          <w:p w14:paraId="4D2D24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210" w:firstLineChars="1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i w:val="0"/>
                <w:iCs w:val="0"/>
                <w:caps w:val="0"/>
                <w:color w:val="auto"/>
                <w:spacing w:val="0"/>
                <w:sz w:val="21"/>
                <w:szCs w:val="21"/>
                <w:shd w:val="clear" w:fill="FFFFFF"/>
              </w:rPr>
              <w:t>供应商具备一辆体检车（自有提供购买发票、行驶证；租赁提供有效期内的租赁合同）得</w:t>
            </w:r>
            <w:r>
              <w:rPr>
                <w:rFonts w:hint="eastAsia" w:ascii="黑体" w:hAnsi="黑体" w:eastAsia="黑体" w:cs="黑体"/>
                <w:i w:val="0"/>
                <w:iCs w:val="0"/>
                <w:caps w:val="0"/>
                <w:color w:val="auto"/>
                <w:spacing w:val="0"/>
                <w:sz w:val="21"/>
                <w:szCs w:val="21"/>
                <w:shd w:val="clear" w:fill="FFFFFF"/>
                <w:lang w:val="en-US" w:eastAsia="zh-CN"/>
              </w:rPr>
              <w:t>6</w:t>
            </w:r>
            <w:r>
              <w:rPr>
                <w:rFonts w:hint="eastAsia" w:ascii="黑体" w:hAnsi="黑体" w:eastAsia="黑体" w:cs="黑体"/>
                <w:i w:val="0"/>
                <w:iCs w:val="0"/>
                <w:caps w:val="0"/>
                <w:color w:val="auto"/>
                <w:spacing w:val="0"/>
                <w:sz w:val="21"/>
                <w:szCs w:val="21"/>
                <w:shd w:val="clear" w:fill="FFFFFF"/>
              </w:rPr>
              <w:t>分，每增加一辆加</w:t>
            </w:r>
            <w:r>
              <w:rPr>
                <w:rFonts w:hint="eastAsia" w:ascii="黑体" w:hAnsi="黑体" w:eastAsia="黑体" w:cs="黑体"/>
                <w:i w:val="0"/>
                <w:iCs w:val="0"/>
                <w:caps w:val="0"/>
                <w:color w:val="auto"/>
                <w:spacing w:val="0"/>
                <w:sz w:val="21"/>
                <w:szCs w:val="21"/>
                <w:shd w:val="clear" w:fill="FFFFFF"/>
                <w:lang w:val="en-US" w:eastAsia="zh-CN"/>
              </w:rPr>
              <w:t>6</w:t>
            </w:r>
            <w:r>
              <w:rPr>
                <w:rFonts w:hint="eastAsia" w:ascii="黑体" w:hAnsi="黑体" w:eastAsia="黑体" w:cs="黑体"/>
                <w:i w:val="0"/>
                <w:iCs w:val="0"/>
                <w:caps w:val="0"/>
                <w:color w:val="auto"/>
                <w:spacing w:val="0"/>
                <w:sz w:val="21"/>
                <w:szCs w:val="21"/>
                <w:shd w:val="clear" w:fill="FFFFFF"/>
              </w:rPr>
              <w:t>分</w:t>
            </w:r>
            <w:r>
              <w:rPr>
                <w:rFonts w:hint="eastAsia" w:ascii="黑体" w:hAnsi="黑体" w:eastAsia="黑体" w:cs="黑体"/>
                <w:i w:val="0"/>
                <w:iCs w:val="0"/>
                <w:caps w:val="0"/>
                <w:color w:val="auto"/>
                <w:spacing w:val="0"/>
                <w:sz w:val="21"/>
                <w:szCs w:val="21"/>
                <w:shd w:val="clear" w:fill="FFFFFF"/>
                <w:lang w:val="en-US" w:eastAsia="zh-CN"/>
              </w:rPr>
              <w:t>；</w:t>
            </w:r>
            <w:r>
              <w:rPr>
                <w:rFonts w:hint="eastAsia" w:ascii="黑体" w:hAnsi="黑体" w:eastAsia="黑体" w:cs="黑体"/>
                <w:i w:val="0"/>
                <w:iCs w:val="0"/>
                <w:caps w:val="0"/>
                <w:color w:val="auto"/>
                <w:spacing w:val="0"/>
                <w:sz w:val="21"/>
                <w:szCs w:val="21"/>
                <w:shd w:val="clear" w:fill="FFFFFF"/>
              </w:rPr>
              <w:t>本项最</w:t>
            </w:r>
            <w:r>
              <w:rPr>
                <w:rFonts w:hint="eastAsia" w:ascii="黑体" w:hAnsi="黑体" w:eastAsia="黑体" w:cs="黑体"/>
                <w:i w:val="0"/>
                <w:iCs w:val="0"/>
                <w:caps w:val="0"/>
                <w:color w:val="auto"/>
                <w:spacing w:val="0"/>
                <w:sz w:val="21"/>
                <w:szCs w:val="21"/>
                <w:shd w:val="clear" w:fill="FFFFFF"/>
                <w:lang w:val="en-US" w:eastAsia="zh-CN"/>
              </w:rPr>
              <w:t>多</w:t>
            </w:r>
            <w:r>
              <w:rPr>
                <w:rFonts w:hint="eastAsia" w:ascii="黑体" w:hAnsi="黑体" w:eastAsia="黑体" w:cs="黑体"/>
                <w:i w:val="0"/>
                <w:iCs w:val="0"/>
                <w:caps w:val="0"/>
                <w:color w:val="auto"/>
                <w:spacing w:val="0"/>
                <w:sz w:val="21"/>
                <w:szCs w:val="21"/>
                <w:shd w:val="clear" w:fill="FFFFFF"/>
              </w:rPr>
              <w:t>得</w:t>
            </w:r>
            <w:r>
              <w:rPr>
                <w:rFonts w:hint="eastAsia" w:ascii="黑体" w:hAnsi="黑体" w:eastAsia="黑体" w:cs="黑体"/>
                <w:i w:val="0"/>
                <w:iCs w:val="0"/>
                <w:caps w:val="0"/>
                <w:color w:val="auto"/>
                <w:spacing w:val="0"/>
                <w:sz w:val="21"/>
                <w:szCs w:val="21"/>
                <w:shd w:val="clear" w:fill="FFFFFF"/>
                <w:lang w:val="en-US" w:eastAsia="zh-CN"/>
              </w:rPr>
              <w:t>12</w:t>
            </w:r>
            <w:r>
              <w:rPr>
                <w:rFonts w:hint="eastAsia" w:ascii="黑体" w:hAnsi="黑体" w:eastAsia="黑体" w:cs="黑体"/>
                <w:i w:val="0"/>
                <w:iCs w:val="0"/>
                <w:caps w:val="0"/>
                <w:color w:val="auto"/>
                <w:spacing w:val="0"/>
                <w:sz w:val="21"/>
                <w:szCs w:val="21"/>
                <w:shd w:val="clear" w:fill="FFFFFF"/>
              </w:rPr>
              <w:t>分；不能提供有效证明或不具有辐射安全许可证和放射诊疗许可证的体检车，本项得分为0分</w:t>
            </w:r>
            <w:r>
              <w:rPr>
                <w:rFonts w:hint="eastAsia" w:ascii="黑体" w:hAnsi="黑体" w:eastAsia="黑体" w:cs="黑体"/>
                <w:color w:val="auto"/>
                <w:sz w:val="21"/>
                <w:szCs w:val="21"/>
                <w:highlight w:val="none"/>
              </w:rPr>
              <w:t>。</w:t>
            </w:r>
          </w:p>
        </w:tc>
        <w:tc>
          <w:tcPr>
            <w:tcW w:w="1004" w:type="pct"/>
            <w:tcBorders>
              <w:left w:val="single" w:color="000000" w:sz="4" w:space="0"/>
              <w:bottom w:val="single" w:color="000000" w:sz="4" w:space="0"/>
              <w:right w:val="single" w:color="000000" w:sz="4" w:space="0"/>
            </w:tcBorders>
            <w:vAlign w:val="center"/>
          </w:tcPr>
          <w:p w14:paraId="24809791">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黑体" w:hAnsi="黑体" w:eastAsia="黑体" w:cs="黑体"/>
                <w:color w:val="auto"/>
                <w:kern w:val="2"/>
                <w:sz w:val="21"/>
                <w:szCs w:val="21"/>
                <w:highlight w:val="none"/>
                <w:lang w:val="en-US" w:eastAsia="zh-CN" w:bidi="ar-SA"/>
              </w:rPr>
            </w:pPr>
          </w:p>
        </w:tc>
      </w:tr>
      <w:tr w14:paraId="0CCD7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2" w:hRule="atLeast"/>
        </w:trPr>
        <w:tc>
          <w:tcPr>
            <w:tcW w:w="217" w:type="pct"/>
            <w:vMerge w:val="continue"/>
            <w:tcBorders>
              <w:left w:val="single" w:color="auto" w:sz="4" w:space="0"/>
              <w:right w:val="single" w:color="000000" w:sz="4" w:space="0"/>
            </w:tcBorders>
            <w:vAlign w:val="center"/>
          </w:tcPr>
          <w:p w14:paraId="3BBD119C">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614" w:type="pct"/>
            <w:vMerge w:val="continue"/>
            <w:tcBorders>
              <w:left w:val="single" w:color="000000" w:sz="4" w:space="0"/>
              <w:right w:val="single" w:color="000000" w:sz="4" w:space="0"/>
            </w:tcBorders>
            <w:vAlign w:val="center"/>
          </w:tcPr>
          <w:p w14:paraId="79E3BFBD">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387" w:type="pct"/>
            <w:vMerge w:val="continue"/>
            <w:tcBorders>
              <w:left w:val="single" w:color="000000" w:sz="4" w:space="0"/>
              <w:right w:val="single" w:color="000000" w:sz="4" w:space="0"/>
            </w:tcBorders>
            <w:vAlign w:val="center"/>
          </w:tcPr>
          <w:p w14:paraId="691CE0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黑体" w:hAnsi="黑体" w:eastAsia="黑体" w:cs="黑体"/>
                <w:color w:val="auto"/>
                <w:sz w:val="21"/>
                <w:szCs w:val="21"/>
                <w:highlight w:val="none"/>
              </w:rPr>
            </w:pPr>
          </w:p>
        </w:tc>
        <w:tc>
          <w:tcPr>
            <w:tcW w:w="2775" w:type="pct"/>
            <w:tcBorders>
              <w:top w:val="single" w:color="auto" w:sz="4" w:space="0"/>
              <w:left w:val="single" w:color="000000" w:sz="4" w:space="0"/>
              <w:bottom w:val="single" w:color="000000" w:sz="4" w:space="0"/>
              <w:right w:val="single" w:color="000000" w:sz="4" w:space="0"/>
            </w:tcBorders>
            <w:vAlign w:val="center"/>
          </w:tcPr>
          <w:p w14:paraId="3913D00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二、团队人员（18分）</w:t>
            </w:r>
          </w:p>
          <w:p w14:paraId="1DB8D8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210" w:firstLineChars="100"/>
              <w:jc w:val="both"/>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1.供应商拟投入本项目现场服务团队成员中，具有2名副主任医师资格证及以上职称和3名主管护师及以上职称的，得8分。</w:t>
            </w:r>
          </w:p>
          <w:p w14:paraId="499179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210" w:firstLineChars="100"/>
              <w:jc w:val="both"/>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lang w:val="en-US" w:eastAsia="zh-CN"/>
              </w:rPr>
              <w:t>2.</w:t>
            </w:r>
            <w:r>
              <w:rPr>
                <w:rFonts w:hint="eastAsia" w:ascii="黑体" w:hAnsi="黑体" w:eastAsia="黑体" w:cs="黑体"/>
                <w:i w:val="0"/>
                <w:iCs w:val="0"/>
                <w:caps w:val="0"/>
                <w:color w:val="auto"/>
                <w:spacing w:val="0"/>
                <w:sz w:val="21"/>
                <w:szCs w:val="21"/>
                <w:shd w:val="clear" w:fill="FFFFFF"/>
              </w:rPr>
              <w:t>在满足上述第1条的基础上，每增加1名副主任医师及以上职称或1名主管护师及以上职称的人员加</w:t>
            </w:r>
            <w:r>
              <w:rPr>
                <w:rFonts w:hint="eastAsia" w:ascii="黑体" w:hAnsi="黑体" w:eastAsia="黑体" w:cs="黑体"/>
                <w:i w:val="0"/>
                <w:iCs w:val="0"/>
                <w:caps w:val="0"/>
                <w:color w:val="auto"/>
                <w:spacing w:val="0"/>
                <w:sz w:val="21"/>
                <w:szCs w:val="21"/>
                <w:shd w:val="clear" w:fill="FFFFFF"/>
                <w:lang w:val="en-US" w:eastAsia="zh-CN"/>
              </w:rPr>
              <w:t>2</w:t>
            </w:r>
            <w:r>
              <w:rPr>
                <w:rFonts w:hint="eastAsia" w:ascii="黑体" w:hAnsi="黑体" w:eastAsia="黑体" w:cs="黑体"/>
                <w:i w:val="0"/>
                <w:iCs w:val="0"/>
                <w:caps w:val="0"/>
                <w:color w:val="auto"/>
                <w:spacing w:val="0"/>
                <w:sz w:val="21"/>
                <w:szCs w:val="21"/>
                <w:shd w:val="clear" w:fill="FFFFFF"/>
              </w:rPr>
              <w:t>分，</w:t>
            </w:r>
            <w:r>
              <w:rPr>
                <w:rFonts w:hint="eastAsia" w:ascii="黑体" w:hAnsi="黑体" w:eastAsia="黑体" w:cs="黑体"/>
                <w:i w:val="0"/>
                <w:iCs w:val="0"/>
                <w:caps w:val="0"/>
                <w:color w:val="auto"/>
                <w:spacing w:val="0"/>
                <w:sz w:val="21"/>
                <w:szCs w:val="21"/>
                <w:shd w:val="clear" w:fill="FFFFFF"/>
                <w:lang w:val="en-US" w:eastAsia="zh-CN"/>
              </w:rPr>
              <w:t>最多加10分；</w:t>
            </w:r>
            <w:r>
              <w:rPr>
                <w:rFonts w:hint="eastAsia" w:ascii="黑体" w:hAnsi="黑体" w:eastAsia="黑体" w:cs="黑体"/>
                <w:i w:val="0"/>
                <w:iCs w:val="0"/>
                <w:caps w:val="0"/>
                <w:color w:val="auto"/>
                <w:spacing w:val="0"/>
                <w:sz w:val="21"/>
                <w:szCs w:val="21"/>
                <w:shd w:val="clear" w:fill="FFFFFF"/>
              </w:rPr>
              <w:t>本项最多得1</w:t>
            </w:r>
            <w:r>
              <w:rPr>
                <w:rFonts w:hint="eastAsia" w:ascii="黑体" w:hAnsi="黑体" w:eastAsia="黑体" w:cs="黑体"/>
                <w:i w:val="0"/>
                <w:iCs w:val="0"/>
                <w:caps w:val="0"/>
                <w:color w:val="auto"/>
                <w:spacing w:val="0"/>
                <w:sz w:val="21"/>
                <w:szCs w:val="21"/>
                <w:shd w:val="clear" w:fill="FFFFFF"/>
                <w:lang w:val="en-US" w:eastAsia="zh-CN"/>
              </w:rPr>
              <w:t>8</w:t>
            </w:r>
            <w:r>
              <w:rPr>
                <w:rFonts w:hint="eastAsia" w:ascii="黑体" w:hAnsi="黑体" w:eastAsia="黑体" w:cs="黑体"/>
                <w:i w:val="0"/>
                <w:iCs w:val="0"/>
                <w:caps w:val="0"/>
                <w:color w:val="auto"/>
                <w:spacing w:val="0"/>
                <w:sz w:val="21"/>
                <w:szCs w:val="21"/>
                <w:shd w:val="clear" w:fill="FFFFFF"/>
              </w:rPr>
              <w:t>分</w:t>
            </w:r>
            <w:r>
              <w:rPr>
                <w:rFonts w:hint="eastAsia" w:ascii="黑体" w:hAnsi="黑体" w:eastAsia="黑体" w:cs="黑体"/>
                <w:i w:val="0"/>
                <w:iCs w:val="0"/>
                <w:caps w:val="0"/>
                <w:color w:val="auto"/>
                <w:spacing w:val="0"/>
                <w:sz w:val="21"/>
                <w:szCs w:val="21"/>
                <w:shd w:val="clear" w:fill="FFFFFF"/>
                <w:lang w:eastAsia="zh-CN"/>
              </w:rPr>
              <w:t>。</w:t>
            </w:r>
          </w:p>
          <w:p w14:paraId="5CD438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210" w:firstLineChars="100"/>
              <w:jc w:val="both"/>
              <w:textAlignment w:val="auto"/>
              <w:rPr>
                <w:rFonts w:hint="eastAsia" w:ascii="黑体" w:hAnsi="黑体" w:eastAsia="黑体" w:cs="黑体"/>
                <w:color w:val="auto"/>
                <w:sz w:val="21"/>
                <w:szCs w:val="21"/>
                <w:highlight w:val="none"/>
                <w:lang w:val="en-US" w:eastAsia="zh-CN"/>
              </w:rPr>
            </w:pPr>
            <w:r>
              <w:rPr>
                <w:rFonts w:hint="eastAsia" w:ascii="黑体" w:hAnsi="黑体" w:eastAsia="黑体" w:cs="黑体"/>
                <w:i w:val="0"/>
                <w:iCs w:val="0"/>
                <w:caps w:val="0"/>
                <w:color w:val="auto"/>
                <w:spacing w:val="0"/>
                <w:sz w:val="21"/>
                <w:szCs w:val="21"/>
                <w:shd w:val="clear" w:fill="FFFFFF"/>
              </w:rPr>
              <w:t>注：不提供或不满足第1条最低要求的不得分</w:t>
            </w:r>
            <w:r>
              <w:rPr>
                <w:rFonts w:hint="eastAsia" w:ascii="黑体" w:hAnsi="黑体" w:eastAsia="黑体" w:cs="黑体"/>
                <w:color w:val="auto"/>
                <w:sz w:val="21"/>
                <w:szCs w:val="21"/>
                <w:highlight w:val="none"/>
                <w:lang w:val="en-US" w:eastAsia="zh-CN"/>
              </w:rPr>
              <w:t>。</w:t>
            </w:r>
          </w:p>
        </w:tc>
        <w:tc>
          <w:tcPr>
            <w:tcW w:w="1004" w:type="pct"/>
            <w:tcBorders>
              <w:left w:val="single" w:color="000000" w:sz="4" w:space="0"/>
              <w:bottom w:val="single" w:color="000000" w:sz="4" w:space="0"/>
              <w:right w:val="single" w:color="000000" w:sz="4" w:space="0"/>
            </w:tcBorders>
            <w:vAlign w:val="center"/>
          </w:tcPr>
          <w:p w14:paraId="40F92B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val="en-US" w:eastAsia="zh-CN"/>
              </w:rPr>
              <w:t>提供拟投入服务团队体检医生、护师的相关证明材料复印件并加盖供应商公章。</w:t>
            </w:r>
          </w:p>
        </w:tc>
      </w:tr>
      <w:tr w14:paraId="04FA6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217" w:type="pct"/>
            <w:vMerge w:val="continue"/>
            <w:tcBorders>
              <w:left w:val="single" w:color="auto" w:sz="4" w:space="0"/>
              <w:right w:val="single" w:color="000000" w:sz="4" w:space="0"/>
            </w:tcBorders>
            <w:vAlign w:val="center"/>
          </w:tcPr>
          <w:p w14:paraId="32E700DC">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614" w:type="pct"/>
            <w:vMerge w:val="continue"/>
            <w:tcBorders>
              <w:left w:val="single" w:color="000000" w:sz="4" w:space="0"/>
              <w:right w:val="single" w:color="000000" w:sz="4" w:space="0"/>
            </w:tcBorders>
            <w:vAlign w:val="center"/>
          </w:tcPr>
          <w:p w14:paraId="27057C4B">
            <w:pPr>
              <w:pStyle w:val="10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黑体" w:hAnsi="黑体" w:eastAsia="黑体" w:cs="黑体"/>
                <w:color w:val="auto"/>
                <w:sz w:val="21"/>
                <w:szCs w:val="21"/>
                <w:highlight w:val="none"/>
              </w:rPr>
            </w:pPr>
          </w:p>
        </w:tc>
        <w:tc>
          <w:tcPr>
            <w:tcW w:w="387" w:type="pct"/>
            <w:vMerge w:val="continue"/>
            <w:tcBorders>
              <w:left w:val="single" w:color="000000" w:sz="4" w:space="0"/>
              <w:right w:val="single" w:color="000000" w:sz="4" w:space="0"/>
            </w:tcBorders>
            <w:vAlign w:val="center"/>
          </w:tcPr>
          <w:p w14:paraId="267093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黑体" w:hAnsi="黑体" w:eastAsia="黑体" w:cs="黑体"/>
                <w:color w:val="auto"/>
                <w:sz w:val="21"/>
                <w:szCs w:val="21"/>
                <w:highlight w:val="none"/>
                <w:lang w:val="en-US" w:eastAsia="zh-CN"/>
              </w:rPr>
            </w:pPr>
          </w:p>
        </w:tc>
        <w:tc>
          <w:tcPr>
            <w:tcW w:w="2775" w:type="pct"/>
            <w:tcBorders>
              <w:top w:val="single" w:color="auto" w:sz="4" w:space="0"/>
              <w:left w:val="single" w:color="000000" w:sz="4" w:space="0"/>
              <w:bottom w:val="single" w:color="auto" w:sz="4" w:space="0"/>
              <w:right w:val="single" w:color="000000" w:sz="4" w:space="0"/>
            </w:tcBorders>
            <w:vAlign w:val="center"/>
          </w:tcPr>
          <w:p w14:paraId="26765B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default" w:ascii="黑体" w:hAnsi="黑体" w:eastAsia="黑体" w:cs="黑体"/>
                <w:b/>
                <w:bCs/>
                <w:color w:val="auto"/>
                <w:sz w:val="21"/>
                <w:szCs w:val="21"/>
                <w:highlight w:val="none"/>
                <w:lang w:val="en-US" w:eastAsia="zh-CN"/>
              </w:rPr>
            </w:pPr>
            <w:r>
              <w:rPr>
                <w:rFonts w:hint="eastAsia" w:ascii="黑体" w:hAnsi="黑体" w:eastAsia="黑体" w:cs="黑体"/>
                <w:b/>
                <w:bCs/>
                <w:color w:val="auto"/>
                <w:sz w:val="21"/>
                <w:szCs w:val="21"/>
                <w:highlight w:val="none"/>
                <w:lang w:val="en-US" w:eastAsia="zh-CN"/>
              </w:rPr>
              <w:t>三、业绩（10分）</w:t>
            </w:r>
          </w:p>
          <w:p w14:paraId="6F6D48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420" w:firstLineChars="200"/>
              <w:jc w:val="left"/>
              <w:textAlignment w:val="auto"/>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rPr>
              <w:t>供应商</w:t>
            </w:r>
            <w:r>
              <w:rPr>
                <w:rFonts w:hint="eastAsia" w:ascii="黑体" w:hAnsi="黑体" w:eastAsia="黑体" w:cs="黑体"/>
                <w:color w:val="auto"/>
                <w:sz w:val="21"/>
                <w:szCs w:val="21"/>
                <w:highlight w:val="none"/>
                <w:lang w:val="en-US" w:eastAsia="zh-CN"/>
              </w:rPr>
              <w:t>自</w:t>
            </w:r>
            <w:r>
              <w:rPr>
                <w:rFonts w:hint="eastAsia" w:ascii="黑体" w:hAnsi="黑体" w:eastAsia="黑体" w:cs="黑体"/>
                <w:color w:val="auto"/>
                <w:sz w:val="21"/>
                <w:szCs w:val="21"/>
                <w:highlight w:val="none"/>
              </w:rPr>
              <w:t xml:space="preserve"> 202</w:t>
            </w:r>
            <w:r>
              <w:rPr>
                <w:rFonts w:hint="eastAsia" w:ascii="黑体" w:hAnsi="黑体" w:eastAsia="黑体" w:cs="黑体"/>
                <w:color w:val="auto"/>
                <w:sz w:val="21"/>
                <w:szCs w:val="21"/>
                <w:highlight w:val="none"/>
                <w:lang w:val="en-US" w:eastAsia="zh-CN"/>
              </w:rPr>
              <w:t>3年1月1日起（以合同签订时间为准）</w:t>
            </w:r>
            <w:r>
              <w:rPr>
                <w:rFonts w:hint="eastAsia" w:ascii="黑体" w:hAnsi="黑体" w:eastAsia="黑体" w:cs="黑体"/>
                <w:color w:val="auto"/>
                <w:sz w:val="21"/>
                <w:szCs w:val="21"/>
                <w:highlight w:val="none"/>
              </w:rPr>
              <w:t>至</w:t>
            </w:r>
            <w:r>
              <w:rPr>
                <w:rFonts w:hint="eastAsia" w:ascii="黑体" w:hAnsi="黑体" w:eastAsia="黑体" w:cs="黑体"/>
                <w:color w:val="auto"/>
                <w:sz w:val="21"/>
                <w:szCs w:val="21"/>
                <w:highlight w:val="none"/>
                <w:lang w:val="en-US" w:eastAsia="zh-CN"/>
              </w:rPr>
              <w:t>响应文件递交</w:t>
            </w:r>
            <w:r>
              <w:rPr>
                <w:rFonts w:hint="eastAsia" w:ascii="黑体" w:hAnsi="黑体" w:eastAsia="黑体" w:cs="黑体"/>
                <w:color w:val="auto"/>
                <w:sz w:val="21"/>
                <w:szCs w:val="21"/>
                <w:highlight w:val="none"/>
                <w:lang w:eastAsia="zh-CN"/>
              </w:rPr>
              <w:t>截止</w:t>
            </w:r>
            <w:r>
              <w:rPr>
                <w:rFonts w:hint="eastAsia" w:ascii="黑体" w:hAnsi="黑体" w:eastAsia="黑体" w:cs="黑体"/>
                <w:color w:val="auto"/>
                <w:sz w:val="21"/>
                <w:szCs w:val="21"/>
                <w:highlight w:val="none"/>
                <w:lang w:val="en-US" w:eastAsia="zh-CN"/>
              </w:rPr>
              <w:t>日止</w:t>
            </w:r>
            <w:r>
              <w:rPr>
                <w:rFonts w:hint="eastAsia" w:ascii="黑体" w:hAnsi="黑体" w:eastAsia="黑体" w:cs="黑体"/>
                <w:color w:val="auto"/>
                <w:sz w:val="21"/>
                <w:szCs w:val="21"/>
                <w:highlight w:val="none"/>
                <w:lang w:eastAsia="zh-CN"/>
              </w:rPr>
              <w:t>，</w:t>
            </w:r>
            <w:r>
              <w:rPr>
                <w:rFonts w:hint="eastAsia" w:ascii="黑体" w:hAnsi="黑体" w:eastAsia="黑体" w:cs="黑体"/>
                <w:color w:val="auto"/>
                <w:sz w:val="21"/>
                <w:szCs w:val="21"/>
                <w:highlight w:val="none"/>
                <w:lang w:val="en-US" w:eastAsia="zh-CN"/>
              </w:rPr>
              <w:t>承担过</w:t>
            </w:r>
            <w:r>
              <w:rPr>
                <w:rFonts w:hint="eastAsia" w:ascii="黑体" w:hAnsi="黑体" w:eastAsia="黑体" w:cs="黑体"/>
                <w:color w:val="auto"/>
                <w:sz w:val="21"/>
                <w:szCs w:val="21"/>
                <w:highlight w:val="none"/>
              </w:rPr>
              <w:t>类似</w:t>
            </w:r>
            <w:r>
              <w:rPr>
                <w:rFonts w:hint="eastAsia" w:ascii="黑体" w:hAnsi="黑体" w:eastAsia="黑体" w:cs="黑体"/>
                <w:color w:val="auto"/>
                <w:sz w:val="21"/>
                <w:szCs w:val="21"/>
                <w:highlight w:val="none"/>
                <w:lang w:eastAsia="zh-CN"/>
              </w:rPr>
              <w:t>集中体检</w:t>
            </w:r>
            <w:r>
              <w:rPr>
                <w:rFonts w:hint="eastAsia" w:ascii="黑体" w:hAnsi="黑体" w:eastAsia="黑体" w:cs="黑体"/>
                <w:color w:val="auto"/>
                <w:sz w:val="21"/>
                <w:szCs w:val="21"/>
                <w:highlight w:val="none"/>
              </w:rPr>
              <w:t>业绩的</w:t>
            </w:r>
            <w:r>
              <w:rPr>
                <w:rFonts w:hint="eastAsia" w:ascii="黑体" w:hAnsi="黑体" w:eastAsia="黑体" w:cs="黑体"/>
                <w:color w:val="auto"/>
                <w:sz w:val="21"/>
                <w:szCs w:val="21"/>
                <w:highlight w:val="none"/>
                <w:lang w:eastAsia="zh-CN"/>
              </w:rPr>
              <w:t>，每提供</w:t>
            </w:r>
            <w:r>
              <w:rPr>
                <w:rFonts w:hint="eastAsia" w:ascii="黑体" w:hAnsi="黑体" w:eastAsia="黑体" w:cs="黑体"/>
                <w:color w:val="auto"/>
                <w:sz w:val="21"/>
                <w:szCs w:val="21"/>
                <w:highlight w:val="none"/>
                <w:lang w:val="en-US" w:eastAsia="zh-CN"/>
              </w:rPr>
              <w:t>1个</w:t>
            </w:r>
            <w:r>
              <w:rPr>
                <w:rFonts w:hint="eastAsia" w:ascii="黑体" w:hAnsi="黑体" w:eastAsia="黑体" w:cs="黑体"/>
                <w:color w:val="auto"/>
                <w:sz w:val="21"/>
                <w:szCs w:val="21"/>
                <w:highlight w:val="none"/>
              </w:rPr>
              <w:t>得</w:t>
            </w:r>
            <w:r>
              <w:rPr>
                <w:rFonts w:hint="eastAsia" w:ascii="黑体" w:hAnsi="黑体" w:eastAsia="黑体" w:cs="黑体"/>
                <w:color w:val="auto"/>
                <w:sz w:val="21"/>
                <w:szCs w:val="21"/>
                <w:highlight w:val="none"/>
                <w:lang w:val="en-US" w:eastAsia="zh-CN"/>
              </w:rPr>
              <w:t>5</w:t>
            </w:r>
            <w:r>
              <w:rPr>
                <w:rFonts w:hint="eastAsia" w:ascii="黑体" w:hAnsi="黑体" w:eastAsia="黑体" w:cs="黑体"/>
                <w:color w:val="auto"/>
                <w:sz w:val="21"/>
                <w:szCs w:val="21"/>
                <w:highlight w:val="none"/>
              </w:rPr>
              <w:t xml:space="preserve">分，本项最多得 </w:t>
            </w:r>
            <w:r>
              <w:rPr>
                <w:rFonts w:hint="eastAsia" w:ascii="黑体" w:hAnsi="黑体" w:eastAsia="黑体" w:cs="黑体"/>
                <w:color w:val="auto"/>
                <w:sz w:val="21"/>
                <w:szCs w:val="21"/>
                <w:highlight w:val="none"/>
                <w:lang w:val="en-US" w:eastAsia="zh-CN"/>
              </w:rPr>
              <w:t>10</w:t>
            </w:r>
            <w:r>
              <w:rPr>
                <w:rFonts w:hint="eastAsia" w:ascii="黑体" w:hAnsi="黑体" w:eastAsia="黑体" w:cs="黑体"/>
                <w:color w:val="auto"/>
                <w:sz w:val="21"/>
                <w:szCs w:val="21"/>
                <w:highlight w:val="none"/>
              </w:rPr>
              <w:t>分</w:t>
            </w:r>
            <w:r>
              <w:rPr>
                <w:rFonts w:hint="eastAsia" w:ascii="黑体" w:hAnsi="黑体" w:eastAsia="黑体" w:cs="黑体"/>
                <w:color w:val="auto"/>
                <w:sz w:val="21"/>
                <w:szCs w:val="21"/>
                <w:highlight w:val="none"/>
                <w:lang w:eastAsia="zh-CN"/>
              </w:rPr>
              <w:t>。</w:t>
            </w:r>
          </w:p>
        </w:tc>
        <w:tc>
          <w:tcPr>
            <w:tcW w:w="1004" w:type="pct"/>
            <w:tcBorders>
              <w:left w:val="single" w:color="000000" w:sz="4" w:space="0"/>
              <w:right w:val="single" w:color="000000" w:sz="4" w:space="0"/>
            </w:tcBorders>
            <w:vAlign w:val="center"/>
          </w:tcPr>
          <w:p w14:paraId="2E7DE2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auto"/>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rPr>
              <w:t>提供合同复印件或其他有效证明文件复印件并加盖供应商公章</w:t>
            </w:r>
            <w:r>
              <w:rPr>
                <w:rFonts w:hint="eastAsia" w:ascii="黑体" w:hAnsi="黑体" w:eastAsia="黑体" w:cs="黑体"/>
                <w:color w:val="auto"/>
                <w:sz w:val="21"/>
                <w:szCs w:val="21"/>
                <w:highlight w:val="none"/>
                <w:lang w:eastAsia="zh-CN"/>
              </w:rPr>
              <w:t>。</w:t>
            </w:r>
          </w:p>
        </w:tc>
      </w:tr>
    </w:tbl>
    <w:p w14:paraId="5F05319E">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hint="eastAsia" w:ascii="黑体" w:hAnsi="黑体" w:eastAsia="黑体" w:cs="黑体"/>
          <w:b/>
          <w:bCs/>
          <w:color w:val="auto"/>
          <w:sz w:val="24"/>
          <w:szCs w:val="24"/>
          <w:lang w:eastAsia="zh-CN"/>
        </w:rPr>
      </w:pPr>
      <w:bookmarkStart w:id="105" w:name="_Toc19473"/>
      <w:bookmarkStart w:id="106" w:name="_Toc65660352"/>
      <w:bookmarkStart w:id="107" w:name="_Toc106034792"/>
      <w:bookmarkStart w:id="108" w:name="_Toc29113"/>
      <w:bookmarkStart w:id="109" w:name="_Toc12644"/>
      <w:r>
        <w:rPr>
          <w:rFonts w:hint="eastAsia" w:ascii="黑体" w:hAnsi="黑体" w:eastAsia="黑体" w:cs="黑体"/>
          <w:b/>
          <w:bCs/>
          <w:color w:val="auto"/>
          <w:sz w:val="24"/>
          <w:szCs w:val="24"/>
          <w:lang w:eastAsia="zh-CN"/>
        </w:rPr>
        <w:t>注：</w:t>
      </w:r>
    </w:p>
    <w:p w14:paraId="1A34F99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（一）关于小微企业报价扣除比例说明</w:t>
      </w:r>
    </w:p>
    <w:p w14:paraId="4A2391D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1.供应商为非联合体参与</w:t>
      </w:r>
      <w:r>
        <w:rPr>
          <w:rFonts w:hint="eastAsia" w:ascii="黑体" w:hAnsi="黑体" w:eastAsia="黑体" w:cs="黑体"/>
          <w:color w:val="auto"/>
          <w:sz w:val="24"/>
          <w:szCs w:val="24"/>
          <w:lang w:eastAsia="zh-CN"/>
        </w:rPr>
        <w:t>询比</w:t>
      </w:r>
      <w:r>
        <w:rPr>
          <w:rFonts w:hint="eastAsia" w:ascii="黑体" w:hAnsi="黑体" w:eastAsia="黑体" w:cs="黑体"/>
          <w:color w:val="auto"/>
          <w:sz w:val="24"/>
          <w:szCs w:val="24"/>
        </w:rPr>
        <w:t>的，对小微型企业给予</w:t>
      </w:r>
      <w:r>
        <w:rPr>
          <w:rFonts w:hint="eastAsia" w:ascii="黑体" w:hAnsi="黑体" w:eastAsia="黑体" w:cs="黑体"/>
          <w:color w:val="auto"/>
          <w:sz w:val="24"/>
          <w:szCs w:val="24"/>
          <w:u w:val="single"/>
        </w:rPr>
        <w:t xml:space="preserve"> 10 %</w:t>
      </w:r>
      <w:r>
        <w:rPr>
          <w:rFonts w:hint="eastAsia" w:ascii="黑体" w:hAnsi="黑体" w:eastAsia="黑体" w:cs="黑体"/>
          <w:color w:val="auto"/>
          <w:sz w:val="24"/>
          <w:szCs w:val="24"/>
        </w:rPr>
        <w:t>的扣除，以扣除后的报价参与评审。</w:t>
      </w:r>
    </w:p>
    <w:p w14:paraId="35D621C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2.监狱企业、残疾人福利性单位视同小型、微型企业。</w:t>
      </w:r>
    </w:p>
    <w:p w14:paraId="24929A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黑体" w:hAnsi="黑体" w:eastAsia="黑体" w:cs="黑体"/>
          <w:color w:val="auto"/>
          <w:kern w:val="2"/>
          <w:sz w:val="24"/>
          <w:szCs w:val="24"/>
          <w:lang w:val="en-US" w:eastAsia="zh-CN" w:bidi="ar"/>
        </w:rPr>
      </w:pPr>
      <w:r>
        <w:rPr>
          <w:rFonts w:hint="eastAsia" w:ascii="黑体" w:hAnsi="黑体" w:eastAsia="黑体" w:cs="黑体"/>
          <w:color w:val="auto"/>
          <w:kern w:val="2"/>
          <w:sz w:val="24"/>
          <w:szCs w:val="24"/>
          <w:lang w:val="en-US" w:eastAsia="zh-CN" w:bidi="ar"/>
        </w:rPr>
        <w:t>(二）采购异常低价问题有关事项的说明</w:t>
      </w:r>
    </w:p>
    <w:p w14:paraId="6291C1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黑体" w:hAnsi="黑体" w:eastAsia="黑体" w:cs="黑体"/>
          <w:color w:val="auto"/>
          <w:sz w:val="24"/>
          <w:szCs w:val="24"/>
          <w:highlight w:val="none"/>
          <w:lang w:eastAsia="zh-CN"/>
        </w:rPr>
      </w:pPr>
      <w:r>
        <w:rPr>
          <w:rFonts w:hint="eastAsia" w:ascii="黑体" w:hAnsi="黑体" w:eastAsia="黑体" w:cs="黑体"/>
          <w:color w:val="auto"/>
          <w:sz w:val="24"/>
          <w:szCs w:val="24"/>
          <w:highlight w:val="none"/>
        </w:rPr>
        <w:t>供应商响应报价低于询比文件</w:t>
      </w:r>
      <w:r>
        <w:rPr>
          <w:rFonts w:hint="eastAsia" w:ascii="黑体" w:hAnsi="黑体" w:eastAsia="黑体" w:cs="黑体"/>
          <w:color w:val="auto"/>
          <w:sz w:val="24"/>
          <w:szCs w:val="24"/>
          <w:highlight w:val="none"/>
          <w:lang w:val="en-US" w:eastAsia="zh-CN"/>
        </w:rPr>
        <w:t>最高限价50%</w:t>
      </w:r>
      <w:r>
        <w:rPr>
          <w:rFonts w:hint="eastAsia" w:ascii="黑体" w:hAnsi="黑体" w:eastAsia="黑体" w:cs="黑体"/>
          <w:color w:val="auto"/>
          <w:sz w:val="24"/>
          <w:szCs w:val="24"/>
          <w:highlight w:val="none"/>
        </w:rPr>
        <w:t>异常低价警戒线的，应提供报价合理性说明，并提供必要的证明材料。供应商提供的说明不得降低或者改变原</w:t>
      </w:r>
      <w:r>
        <w:rPr>
          <w:rFonts w:hint="eastAsia" w:ascii="黑体" w:hAnsi="黑体" w:eastAsia="黑体" w:cs="黑体"/>
          <w:color w:val="auto"/>
          <w:sz w:val="24"/>
          <w:szCs w:val="24"/>
          <w:highlight w:val="none"/>
          <w:lang w:val="en-US" w:eastAsia="zh-CN"/>
        </w:rPr>
        <w:t>服务</w:t>
      </w:r>
      <w:r>
        <w:rPr>
          <w:rFonts w:hint="eastAsia" w:ascii="黑体" w:hAnsi="黑体" w:eastAsia="黑体" w:cs="黑体"/>
          <w:color w:val="auto"/>
          <w:sz w:val="24"/>
          <w:szCs w:val="24"/>
          <w:highlight w:val="none"/>
        </w:rPr>
        <w:t>方案，不得影响项目的质量、安全等正常履约。</w:t>
      </w:r>
      <w:r>
        <w:rPr>
          <w:rFonts w:hint="eastAsia" w:ascii="黑体" w:hAnsi="黑体" w:eastAsia="黑体" w:cs="黑体"/>
          <w:color w:val="auto"/>
          <w:sz w:val="24"/>
          <w:szCs w:val="24"/>
          <w:highlight w:val="none"/>
          <w:lang w:val="en-US" w:eastAsia="zh-CN"/>
        </w:rPr>
        <w:t>如果</w:t>
      </w:r>
      <w:r>
        <w:rPr>
          <w:rFonts w:hint="eastAsia" w:ascii="黑体" w:hAnsi="黑体" w:eastAsia="黑体" w:cs="黑体"/>
          <w:color w:val="auto"/>
          <w:sz w:val="24"/>
          <w:szCs w:val="24"/>
          <w:highlight w:val="none"/>
        </w:rPr>
        <w:t>供应商未提供报价合理性说明或者提供的说明不能证明其报价合理性的，由询比</w:t>
      </w:r>
      <w:r>
        <w:rPr>
          <w:rFonts w:hint="eastAsia" w:ascii="黑体" w:hAnsi="黑体" w:eastAsia="黑体" w:cs="黑体"/>
          <w:color w:val="auto"/>
          <w:sz w:val="24"/>
          <w:szCs w:val="24"/>
          <w:highlight w:val="none"/>
          <w:lang w:val="en-US" w:eastAsia="zh-CN"/>
        </w:rPr>
        <w:t>小组</w:t>
      </w:r>
      <w:r>
        <w:rPr>
          <w:rFonts w:hint="eastAsia" w:ascii="黑体" w:hAnsi="黑体" w:eastAsia="黑体" w:cs="黑体"/>
          <w:color w:val="auto"/>
          <w:sz w:val="24"/>
          <w:szCs w:val="24"/>
          <w:highlight w:val="none"/>
        </w:rPr>
        <w:t>作无效响应处理</w:t>
      </w:r>
      <w:r>
        <w:rPr>
          <w:rFonts w:hint="eastAsia" w:ascii="黑体" w:hAnsi="黑体" w:eastAsia="黑体" w:cs="黑体"/>
          <w:color w:val="auto"/>
          <w:sz w:val="24"/>
          <w:szCs w:val="24"/>
          <w:highlight w:val="none"/>
          <w:lang w:eastAsia="zh-CN"/>
        </w:rPr>
        <w:t>。</w:t>
      </w:r>
    </w:p>
    <w:p w14:paraId="3273BD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2" w:firstLineChars="200"/>
        <w:jc w:val="both"/>
        <w:textAlignment w:val="auto"/>
        <w:rPr>
          <w:rFonts w:hint="eastAsia" w:ascii="黑体" w:hAnsi="黑体" w:eastAsia="黑体" w:cs="黑体"/>
          <w:color w:val="auto"/>
          <w:sz w:val="24"/>
          <w:szCs w:val="24"/>
          <w:lang w:eastAsia="zh-CN"/>
        </w:rPr>
      </w:pPr>
      <w:r>
        <w:rPr>
          <w:rFonts w:hint="eastAsia" w:ascii="黑体" w:hAnsi="黑体" w:eastAsia="黑体" w:cs="黑体"/>
          <w:b/>
          <w:bCs/>
          <w:color w:val="auto"/>
          <w:sz w:val="24"/>
          <w:szCs w:val="24"/>
        </w:rPr>
        <w:t>三、无效</w:t>
      </w:r>
      <w:bookmarkEnd w:id="105"/>
      <w:bookmarkEnd w:id="106"/>
      <w:bookmarkEnd w:id="107"/>
      <w:bookmarkEnd w:id="108"/>
      <w:bookmarkEnd w:id="109"/>
      <w:r>
        <w:rPr>
          <w:rFonts w:hint="eastAsia" w:ascii="黑体" w:hAnsi="黑体" w:eastAsia="黑体" w:cs="黑体"/>
          <w:b/>
          <w:bCs/>
          <w:color w:val="auto"/>
          <w:sz w:val="24"/>
          <w:szCs w:val="24"/>
          <w:lang w:eastAsia="zh-CN"/>
        </w:rPr>
        <w:t>响应</w:t>
      </w:r>
    </w:p>
    <w:p w14:paraId="6B18D6D3">
      <w:pPr>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供应商发生以下条款情况之一者，视为无效</w:t>
      </w:r>
      <w:r>
        <w:rPr>
          <w:rFonts w:hint="eastAsia" w:ascii="黑体" w:hAnsi="黑体" w:eastAsia="黑体" w:cs="黑体"/>
          <w:sz w:val="24"/>
          <w:szCs w:val="24"/>
          <w:lang w:eastAsia="zh-CN"/>
        </w:rPr>
        <w:t>响应</w:t>
      </w:r>
      <w:r>
        <w:rPr>
          <w:rFonts w:hint="eastAsia" w:ascii="黑体" w:hAnsi="黑体" w:eastAsia="黑体" w:cs="黑体"/>
          <w:sz w:val="24"/>
          <w:szCs w:val="24"/>
        </w:rPr>
        <w:t>：</w:t>
      </w:r>
    </w:p>
    <w:p w14:paraId="4081B28D">
      <w:pPr>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（一）供应商未通过资格性检查或响应文件未通过符合性检查的；</w:t>
      </w:r>
    </w:p>
    <w:p w14:paraId="47328F37">
      <w:pPr>
        <w:pStyle w:val="34"/>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color w:val="auto"/>
          <w:sz w:val="24"/>
          <w:szCs w:val="24"/>
        </w:rPr>
        <w:t>（二）供应商所提交的响应文件不按“第七篇响应文件格式要求”要求规定签署、盖章</w:t>
      </w:r>
      <w:r>
        <w:rPr>
          <w:rFonts w:hint="eastAsia" w:ascii="黑体" w:hAnsi="黑体" w:eastAsia="黑体" w:cs="黑体"/>
          <w:sz w:val="24"/>
          <w:szCs w:val="24"/>
        </w:rPr>
        <w:t>；</w:t>
      </w:r>
    </w:p>
    <w:p w14:paraId="223471B7">
      <w:pPr>
        <w:pStyle w:val="34"/>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三</w:t>
      </w:r>
      <w:r>
        <w:rPr>
          <w:rFonts w:hint="eastAsia" w:ascii="黑体" w:hAnsi="黑体" w:eastAsia="黑体" w:cs="黑体"/>
          <w:sz w:val="24"/>
          <w:szCs w:val="24"/>
        </w:rPr>
        <w:t>）供应商的报价超过采购预算或最高限价的；</w:t>
      </w:r>
    </w:p>
    <w:p w14:paraId="51E0D352">
      <w:pPr>
        <w:pageBreakBefore w:val="0"/>
        <w:widowControl w:val="0"/>
        <w:kinsoku/>
        <w:wordWrap/>
        <w:overflowPunct/>
        <w:topLinePunct w:val="0"/>
        <w:autoSpaceDE/>
        <w:autoSpaceDN/>
        <w:bidi w:val="0"/>
        <w:adjustRightInd/>
        <w:snapToGrid w:val="0"/>
        <w:spacing w:line="440" w:lineRule="exact"/>
        <w:ind w:firstLine="465"/>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（四）法定代表人为同一个人的两个及两个以上法人，母公司、全资子公司及其控股公司，在同一包采购中同时参与的；</w:t>
      </w:r>
    </w:p>
    <w:p w14:paraId="45D5654A">
      <w:pPr>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（五）单位负责人为同一人或者存在直接控股、管理关系的不同供应商，参加同一合同项下的政府采购活动的；</w:t>
      </w:r>
    </w:p>
    <w:p w14:paraId="7E923F6D">
      <w:pPr>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（六）为采购项目提供整体设计、规范编制或者项目管理、监理、检测等服务的供应商再参加本项目的采购活动的；</w:t>
      </w:r>
    </w:p>
    <w:p w14:paraId="6AE95855">
      <w:pPr>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（七）供应商</w:t>
      </w:r>
      <w:r>
        <w:rPr>
          <w:rFonts w:hint="eastAsia" w:ascii="黑体" w:hAnsi="黑体" w:eastAsia="黑体" w:cs="黑体"/>
          <w:color w:val="auto"/>
          <w:sz w:val="24"/>
          <w:szCs w:val="24"/>
          <w:lang w:val="en-US" w:eastAsia="zh-CN"/>
        </w:rPr>
        <w:t>询比</w:t>
      </w:r>
      <w:r>
        <w:rPr>
          <w:rFonts w:hint="eastAsia" w:ascii="黑体" w:hAnsi="黑体" w:eastAsia="黑体" w:cs="黑体"/>
          <w:color w:val="auto"/>
          <w:sz w:val="24"/>
          <w:szCs w:val="24"/>
        </w:rPr>
        <w:t>有效期不满足</w:t>
      </w:r>
      <w:r>
        <w:rPr>
          <w:rFonts w:hint="eastAsia" w:ascii="黑体" w:hAnsi="黑体" w:eastAsia="黑体" w:cs="黑体"/>
          <w:color w:val="auto"/>
          <w:sz w:val="24"/>
          <w:szCs w:val="24"/>
          <w:lang w:val="en-US" w:eastAsia="zh-CN"/>
        </w:rPr>
        <w:t>询比</w:t>
      </w:r>
      <w:r>
        <w:rPr>
          <w:rFonts w:hint="eastAsia" w:ascii="黑体" w:hAnsi="黑体" w:eastAsia="黑体" w:cs="黑体"/>
          <w:color w:val="auto"/>
          <w:sz w:val="24"/>
          <w:szCs w:val="24"/>
        </w:rPr>
        <w:t>文件要求的；</w:t>
      </w:r>
    </w:p>
    <w:p w14:paraId="173CB143">
      <w:pPr>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（八）供应商响应文件内容有与国家现行法律法规相违背的内容，或附有采购人无法接受的条件。</w:t>
      </w:r>
    </w:p>
    <w:p w14:paraId="1B40E07A">
      <w:pPr>
        <w:pStyle w:val="34"/>
        <w:pageBreakBefore w:val="0"/>
        <w:widowControl w:val="0"/>
        <w:kinsoku/>
        <w:wordWrap/>
        <w:overflowPunct/>
        <w:topLinePunct w:val="0"/>
        <w:autoSpaceDE/>
        <w:autoSpaceDN/>
        <w:bidi w:val="0"/>
        <w:snapToGrid w:val="0"/>
        <w:spacing w:line="440" w:lineRule="exact"/>
        <w:jc w:val="left"/>
        <w:textAlignment w:val="auto"/>
        <w:rPr>
          <w:rFonts w:hint="eastAsia" w:ascii="黑体" w:hAnsi="黑体" w:eastAsia="黑体" w:cs="黑体"/>
          <w:sz w:val="24"/>
          <w:szCs w:val="24"/>
        </w:rPr>
      </w:pPr>
      <w:r>
        <w:rPr>
          <w:rFonts w:hint="eastAsia" w:ascii="黑体" w:hAnsi="黑体" w:eastAsia="黑体" w:cs="黑体"/>
          <w:color w:val="auto"/>
          <w:sz w:val="24"/>
          <w:szCs w:val="24"/>
        </w:rPr>
        <w:t>（</w:t>
      </w:r>
      <w:r>
        <w:rPr>
          <w:rFonts w:hint="eastAsia" w:ascii="黑体" w:hAnsi="黑体" w:eastAsia="黑体" w:cs="黑体"/>
          <w:color w:val="auto"/>
          <w:sz w:val="24"/>
          <w:szCs w:val="24"/>
          <w:lang w:val="en-US" w:eastAsia="zh-CN"/>
        </w:rPr>
        <w:t>九</w:t>
      </w:r>
      <w:r>
        <w:rPr>
          <w:rFonts w:hint="eastAsia" w:ascii="黑体" w:hAnsi="黑体" w:eastAsia="黑体" w:cs="黑体"/>
          <w:color w:val="auto"/>
          <w:sz w:val="24"/>
          <w:szCs w:val="24"/>
        </w:rPr>
        <w:t>）法律、法规和</w:t>
      </w:r>
      <w:r>
        <w:rPr>
          <w:rFonts w:hint="eastAsia" w:ascii="黑体" w:hAnsi="黑体" w:eastAsia="黑体" w:cs="黑体"/>
          <w:color w:val="auto"/>
          <w:sz w:val="24"/>
          <w:szCs w:val="24"/>
          <w:lang w:val="en-US" w:eastAsia="zh-CN"/>
        </w:rPr>
        <w:t>询比</w:t>
      </w:r>
      <w:r>
        <w:rPr>
          <w:rFonts w:hint="eastAsia" w:ascii="黑体" w:hAnsi="黑体" w:eastAsia="黑体" w:cs="黑体"/>
          <w:color w:val="auto"/>
          <w:sz w:val="24"/>
          <w:szCs w:val="24"/>
        </w:rPr>
        <w:t>文件规定的其他无效情形</w:t>
      </w:r>
      <w:r>
        <w:rPr>
          <w:rFonts w:hint="eastAsia" w:ascii="黑体" w:hAnsi="黑体" w:eastAsia="黑体" w:cs="黑体"/>
          <w:sz w:val="24"/>
          <w:szCs w:val="24"/>
        </w:rPr>
        <w:t>。</w:t>
      </w:r>
    </w:p>
    <w:p w14:paraId="7147D8EA">
      <w:pPr>
        <w:pStyle w:val="3"/>
        <w:pageBreakBefore w:val="0"/>
        <w:widowControl w:val="0"/>
        <w:kinsoku/>
        <w:wordWrap/>
        <w:overflowPunct/>
        <w:topLinePunct w:val="0"/>
        <w:autoSpaceDE/>
        <w:autoSpaceDN/>
        <w:bidi w:val="0"/>
        <w:adjustRightInd w:val="0"/>
        <w:snapToGrid w:val="0"/>
        <w:spacing w:before="0" w:after="0" w:line="440" w:lineRule="exact"/>
        <w:ind w:firstLine="482" w:firstLineChars="200"/>
        <w:jc w:val="left"/>
        <w:textAlignment w:val="auto"/>
        <w:rPr>
          <w:rFonts w:hint="eastAsia" w:ascii="黑体" w:hAnsi="黑体" w:eastAsia="黑体" w:cs="黑体"/>
          <w:sz w:val="24"/>
          <w:szCs w:val="24"/>
        </w:rPr>
      </w:pPr>
      <w:bookmarkStart w:id="110" w:name="_Toc29298"/>
      <w:bookmarkStart w:id="111" w:name="_Toc22716"/>
      <w:bookmarkStart w:id="112" w:name="_Toc28422"/>
      <w:bookmarkStart w:id="113" w:name="_Toc65660353"/>
      <w:bookmarkStart w:id="114" w:name="_Toc106034793"/>
      <w:r>
        <w:rPr>
          <w:rFonts w:hint="eastAsia" w:ascii="黑体" w:hAnsi="黑体" w:eastAsia="黑体" w:cs="黑体"/>
          <w:sz w:val="24"/>
          <w:szCs w:val="24"/>
        </w:rPr>
        <w:t>四、采购终止</w:t>
      </w:r>
      <w:bookmarkEnd w:id="110"/>
      <w:bookmarkEnd w:id="111"/>
      <w:bookmarkEnd w:id="112"/>
      <w:bookmarkEnd w:id="113"/>
      <w:bookmarkEnd w:id="114"/>
    </w:p>
    <w:p w14:paraId="289E2B3C">
      <w:pPr>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出现下列情形之一的，采购人或者采购代理机构应当终止</w:t>
      </w:r>
      <w:r>
        <w:rPr>
          <w:rFonts w:hint="eastAsia" w:ascii="黑体" w:hAnsi="黑体" w:eastAsia="黑体" w:cs="黑体"/>
          <w:sz w:val="24"/>
          <w:szCs w:val="24"/>
          <w:lang w:val="en-US" w:eastAsia="zh-CN"/>
        </w:rPr>
        <w:t>询比</w:t>
      </w:r>
      <w:r>
        <w:rPr>
          <w:rFonts w:hint="eastAsia" w:ascii="黑体" w:hAnsi="黑体" w:eastAsia="黑体" w:cs="黑体"/>
          <w:sz w:val="24"/>
          <w:szCs w:val="24"/>
        </w:rPr>
        <w:t>采购活动，发布项目终止公告并说明原因，重新开展采购活动：</w:t>
      </w:r>
    </w:p>
    <w:p w14:paraId="7039E678">
      <w:pPr>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（一）因情况变化，不再符合规定的</w:t>
      </w:r>
      <w:r>
        <w:rPr>
          <w:rFonts w:hint="eastAsia" w:ascii="黑体" w:hAnsi="黑体" w:eastAsia="黑体" w:cs="黑体"/>
          <w:sz w:val="24"/>
          <w:szCs w:val="24"/>
          <w:lang w:eastAsia="zh-CN"/>
        </w:rPr>
        <w:t>询比</w:t>
      </w:r>
      <w:r>
        <w:rPr>
          <w:rFonts w:hint="eastAsia" w:ascii="黑体" w:hAnsi="黑体" w:eastAsia="黑体" w:cs="黑体"/>
          <w:sz w:val="24"/>
          <w:szCs w:val="24"/>
        </w:rPr>
        <w:t>采购方式适用情形的；</w:t>
      </w:r>
    </w:p>
    <w:p w14:paraId="2B751D9C">
      <w:pPr>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（二）出现影响采购公正的违法、违规行为的；</w:t>
      </w:r>
    </w:p>
    <w:p w14:paraId="179FCA5F">
      <w:pPr>
        <w:pageBreakBefore w:val="0"/>
        <w:widowControl w:val="0"/>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（三）在采购过程中符合要求的供应商或者报价未超过采购预算的供应商不</w:t>
      </w:r>
      <w:r>
        <w:rPr>
          <w:rFonts w:hint="eastAsia" w:ascii="黑体" w:hAnsi="黑体" w:eastAsia="黑体" w:cs="黑体"/>
          <w:color w:val="auto"/>
          <w:sz w:val="24"/>
          <w:szCs w:val="24"/>
          <w:highlight w:val="none"/>
        </w:rPr>
        <w:t>足3</w:t>
      </w:r>
      <w:r>
        <w:rPr>
          <w:rFonts w:hint="eastAsia" w:ascii="黑体" w:hAnsi="黑体" w:eastAsia="黑体" w:cs="黑体"/>
          <w:color w:val="auto"/>
          <w:sz w:val="24"/>
          <w:szCs w:val="24"/>
        </w:rPr>
        <w:t>家的。</w:t>
      </w:r>
    </w:p>
    <w:p w14:paraId="4A86F232">
      <w:pPr>
        <w:pageBreakBefore w:val="0"/>
        <w:widowControl w:val="0"/>
        <w:numPr>
          <w:ilvl w:val="0"/>
          <w:numId w:val="14"/>
        </w:numPr>
        <w:kinsoku/>
        <w:wordWrap/>
        <w:overflowPunct/>
        <w:topLinePunct w:val="0"/>
        <w:autoSpaceDE/>
        <w:autoSpaceDN/>
        <w:bidi w:val="0"/>
        <w:spacing w:line="440" w:lineRule="exact"/>
        <w:jc w:val="left"/>
        <w:textAlignment w:val="auto"/>
        <w:rPr>
          <w:rFonts w:hint="eastAsia" w:ascii="黑体" w:hAnsi="黑体" w:eastAsia="黑体" w:cs="黑体"/>
          <w:color w:val="C00000"/>
          <w:sz w:val="24"/>
          <w:szCs w:val="24"/>
        </w:rPr>
        <w:sectPr>
          <w:pgSz w:w="11907" w:h="16840"/>
          <w:pgMar w:top="1134" w:right="1191" w:bottom="1134" w:left="1304" w:header="454" w:footer="992" w:gutter="0"/>
          <w:pgNumType w:fmt="numberInDash"/>
          <w:cols w:space="720" w:num="1"/>
          <w:docGrid w:linePitch="380" w:charSpace="-5735"/>
        </w:sectPr>
      </w:pPr>
    </w:p>
    <w:p w14:paraId="5E66E17C">
      <w:pPr>
        <w:pStyle w:val="3"/>
        <w:pageBreakBefore w:val="0"/>
        <w:widowControl w:val="0"/>
        <w:kinsoku/>
        <w:wordWrap/>
        <w:overflowPunct/>
        <w:topLinePunct w:val="0"/>
        <w:autoSpaceDE/>
        <w:autoSpaceDN/>
        <w:bidi w:val="0"/>
        <w:spacing w:line="4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第五篇 供应商须知</w:t>
      </w:r>
    </w:p>
    <w:p w14:paraId="32BDE8A8">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jc w:val="left"/>
        <w:textAlignment w:val="auto"/>
        <w:rPr>
          <w:rFonts w:hint="eastAsia" w:ascii="黑体" w:hAnsi="黑体" w:eastAsia="黑体" w:cs="黑体"/>
          <w:sz w:val="24"/>
          <w:szCs w:val="24"/>
        </w:rPr>
      </w:pPr>
      <w:bookmarkStart w:id="115" w:name="_Toc16524"/>
      <w:bookmarkStart w:id="116" w:name="_Toc106034795"/>
      <w:bookmarkStart w:id="117" w:name="_Toc2864"/>
      <w:bookmarkStart w:id="118" w:name="_Toc5290"/>
      <w:bookmarkStart w:id="119" w:name="_Toc65660355"/>
      <w:bookmarkStart w:id="120" w:name="_Toc106034654"/>
      <w:bookmarkStart w:id="121" w:name="_Toc65660362"/>
      <w:bookmarkStart w:id="122" w:name="_Toc32594"/>
      <w:bookmarkStart w:id="123" w:name="_Toc29513"/>
      <w:r>
        <w:rPr>
          <w:rFonts w:hint="eastAsia" w:ascii="黑体" w:hAnsi="黑体" w:eastAsia="黑体" w:cs="黑体"/>
          <w:sz w:val="24"/>
          <w:szCs w:val="24"/>
        </w:rPr>
        <w:t>一、</w:t>
      </w:r>
      <w:r>
        <w:rPr>
          <w:rFonts w:hint="eastAsia" w:ascii="黑体" w:hAnsi="黑体" w:eastAsia="黑体" w:cs="黑体"/>
          <w:sz w:val="24"/>
          <w:szCs w:val="24"/>
          <w:lang w:val="en-US" w:eastAsia="zh-CN"/>
        </w:rPr>
        <w:t>询比</w:t>
      </w:r>
      <w:r>
        <w:rPr>
          <w:rFonts w:hint="eastAsia" w:ascii="黑体" w:hAnsi="黑体" w:eastAsia="黑体" w:cs="黑体"/>
          <w:sz w:val="24"/>
          <w:szCs w:val="24"/>
        </w:rPr>
        <w:t>费用</w:t>
      </w:r>
      <w:bookmarkEnd w:id="115"/>
      <w:bookmarkEnd w:id="116"/>
      <w:bookmarkEnd w:id="117"/>
      <w:bookmarkEnd w:id="118"/>
      <w:bookmarkEnd w:id="119"/>
    </w:p>
    <w:p w14:paraId="042303DF">
      <w:pPr>
        <w:pStyle w:val="153"/>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参与报价的供应商应承担其编制响应文件与递交响应文件所涉及的一切费用，不论</w:t>
      </w:r>
      <w:r>
        <w:rPr>
          <w:rFonts w:hint="eastAsia" w:ascii="黑体" w:hAnsi="黑体" w:eastAsia="黑体" w:cs="黑体"/>
          <w:sz w:val="24"/>
          <w:szCs w:val="24"/>
          <w:lang w:eastAsia="zh-CN"/>
        </w:rPr>
        <w:t>询比</w:t>
      </w:r>
      <w:r>
        <w:rPr>
          <w:rFonts w:hint="eastAsia" w:ascii="黑体" w:hAnsi="黑体" w:eastAsia="黑体" w:cs="黑体"/>
          <w:sz w:val="24"/>
          <w:szCs w:val="24"/>
        </w:rPr>
        <w:t>结果如何，采购人和采购代理机构在任何情况下无义务也无责任承担这些费用。</w:t>
      </w:r>
    </w:p>
    <w:p w14:paraId="28C980F8">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jc w:val="left"/>
        <w:textAlignment w:val="auto"/>
        <w:rPr>
          <w:rFonts w:hint="eastAsia" w:ascii="黑体" w:hAnsi="黑体" w:eastAsia="黑体" w:cs="黑体"/>
          <w:sz w:val="24"/>
          <w:szCs w:val="24"/>
          <w:lang w:val="en-US"/>
        </w:rPr>
      </w:pPr>
      <w:bookmarkStart w:id="124" w:name="_Toc65660356"/>
      <w:bookmarkStart w:id="125" w:name="_Toc5915"/>
      <w:bookmarkStart w:id="126" w:name="_Toc31739"/>
      <w:bookmarkStart w:id="127" w:name="_Toc106034796"/>
      <w:bookmarkStart w:id="128" w:name="_Toc31070"/>
      <w:r>
        <w:rPr>
          <w:rFonts w:hint="eastAsia" w:ascii="黑体" w:hAnsi="黑体" w:eastAsia="黑体" w:cs="黑体"/>
          <w:sz w:val="24"/>
          <w:szCs w:val="24"/>
        </w:rPr>
        <w:t>二、</w:t>
      </w:r>
      <w:r>
        <w:rPr>
          <w:rFonts w:hint="eastAsia" w:ascii="黑体" w:hAnsi="黑体" w:eastAsia="黑体" w:cs="黑体"/>
          <w:sz w:val="24"/>
          <w:szCs w:val="24"/>
          <w:lang w:eastAsia="zh-CN"/>
        </w:rPr>
        <w:t>询比</w:t>
      </w:r>
      <w:bookmarkEnd w:id="124"/>
      <w:bookmarkEnd w:id="125"/>
      <w:bookmarkEnd w:id="126"/>
      <w:bookmarkEnd w:id="127"/>
      <w:bookmarkEnd w:id="128"/>
      <w:r>
        <w:rPr>
          <w:rFonts w:hint="eastAsia" w:ascii="黑体" w:hAnsi="黑体" w:eastAsia="黑体" w:cs="黑体"/>
          <w:sz w:val="24"/>
          <w:szCs w:val="24"/>
          <w:lang w:val="en-US" w:eastAsia="zh-CN"/>
        </w:rPr>
        <w:t>文件</w:t>
      </w:r>
    </w:p>
    <w:p w14:paraId="0C44BAC0">
      <w:pPr>
        <w:pageBreakBefore w:val="0"/>
        <w:widowControl w:val="0"/>
        <w:kinsoku/>
        <w:wordWrap/>
        <w:overflowPunct/>
        <w:topLinePunct w:val="0"/>
        <w:autoSpaceDE/>
        <w:autoSpaceDN/>
        <w:bidi w:val="0"/>
        <w:snapToGrid w:val="0"/>
        <w:spacing w:line="420" w:lineRule="exact"/>
        <w:ind w:firstLine="360" w:firstLineChars="150"/>
        <w:jc w:val="left"/>
        <w:textAlignment w:val="auto"/>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询比</w:t>
      </w:r>
      <w:r>
        <w:rPr>
          <w:rFonts w:hint="eastAsia" w:ascii="黑体" w:hAnsi="黑体" w:eastAsia="黑体" w:cs="黑体"/>
          <w:sz w:val="24"/>
          <w:szCs w:val="24"/>
          <w:lang w:val="en-US" w:eastAsia="zh-CN"/>
        </w:rPr>
        <w:t>文件</w:t>
      </w:r>
      <w:r>
        <w:rPr>
          <w:rFonts w:hint="eastAsia" w:ascii="黑体" w:hAnsi="黑体" w:eastAsia="黑体" w:cs="黑体"/>
          <w:sz w:val="24"/>
          <w:szCs w:val="24"/>
        </w:rPr>
        <w:t>由采购邀请书、</w:t>
      </w:r>
      <w:r>
        <w:rPr>
          <w:rFonts w:hint="eastAsia" w:ascii="黑体" w:hAnsi="黑体" w:eastAsia="黑体" w:cs="黑体"/>
          <w:sz w:val="24"/>
          <w:szCs w:val="24"/>
          <w:lang w:val="en-US" w:eastAsia="zh-CN"/>
        </w:rPr>
        <w:t>项目服务</w:t>
      </w:r>
      <w:r>
        <w:rPr>
          <w:rFonts w:hint="eastAsia" w:ascii="黑体" w:hAnsi="黑体" w:eastAsia="黑体" w:cs="黑体"/>
          <w:sz w:val="24"/>
          <w:szCs w:val="24"/>
        </w:rPr>
        <w:t>需求、项目</w:t>
      </w:r>
      <w:r>
        <w:rPr>
          <w:rFonts w:hint="eastAsia" w:ascii="黑体" w:hAnsi="黑体" w:eastAsia="黑体" w:cs="黑体"/>
          <w:sz w:val="24"/>
          <w:szCs w:val="24"/>
          <w:lang w:val="en-US" w:eastAsia="zh-CN"/>
        </w:rPr>
        <w:t>商务</w:t>
      </w:r>
      <w:r>
        <w:rPr>
          <w:rFonts w:hint="eastAsia" w:ascii="黑体" w:hAnsi="黑体" w:eastAsia="黑体" w:cs="黑体"/>
          <w:sz w:val="24"/>
          <w:szCs w:val="24"/>
        </w:rPr>
        <w:t>需求、采购程序、评定成交的标准、无效报价及采购终止、供应商须知、合同草案条款、响应文件</w:t>
      </w:r>
      <w:r>
        <w:rPr>
          <w:rFonts w:hint="eastAsia" w:ascii="黑体" w:hAnsi="黑体" w:eastAsia="黑体" w:cs="黑体"/>
          <w:sz w:val="24"/>
          <w:szCs w:val="24"/>
          <w:lang w:val="en-US" w:eastAsia="zh-CN"/>
        </w:rPr>
        <w:t>编制</w:t>
      </w:r>
      <w:r>
        <w:rPr>
          <w:rFonts w:hint="eastAsia" w:ascii="黑体" w:hAnsi="黑体" w:eastAsia="黑体" w:cs="黑体"/>
          <w:sz w:val="24"/>
          <w:szCs w:val="24"/>
        </w:rPr>
        <w:t>要求七部分组成。</w:t>
      </w:r>
    </w:p>
    <w:p w14:paraId="72CB5127">
      <w:pPr>
        <w:pageBreakBefore w:val="0"/>
        <w:widowControl w:val="0"/>
        <w:kinsoku/>
        <w:wordWrap/>
        <w:overflowPunct/>
        <w:topLinePunct w:val="0"/>
        <w:autoSpaceDE/>
        <w:autoSpaceDN/>
        <w:bidi w:val="0"/>
        <w:snapToGrid w:val="0"/>
        <w:spacing w:line="420" w:lineRule="exact"/>
        <w:ind w:firstLine="360" w:firstLineChars="150"/>
        <w:jc w:val="left"/>
        <w:textAlignment w:val="auto"/>
        <w:rPr>
          <w:rFonts w:hint="eastAsia" w:ascii="黑体" w:hAnsi="黑体" w:eastAsia="黑体" w:cs="黑体"/>
          <w:b w:val="0"/>
          <w:bCs w:val="0"/>
          <w:sz w:val="24"/>
          <w:szCs w:val="24"/>
        </w:rPr>
      </w:pPr>
      <w:r>
        <w:rPr>
          <w:rFonts w:hint="eastAsia" w:ascii="黑体" w:hAnsi="黑体" w:eastAsia="黑体" w:cs="黑体"/>
          <w:sz w:val="24"/>
          <w:szCs w:val="24"/>
        </w:rPr>
        <w:t>（二）采购人（或采购代理机构）所作的一切有效的书面通知、修改及补充，都是</w:t>
      </w:r>
      <w:r>
        <w:rPr>
          <w:rFonts w:hint="eastAsia" w:ascii="黑体" w:hAnsi="黑体" w:eastAsia="黑体" w:cs="黑体"/>
          <w:sz w:val="24"/>
          <w:szCs w:val="24"/>
          <w:lang w:eastAsia="zh-CN"/>
        </w:rPr>
        <w:t>询比</w:t>
      </w:r>
      <w:r>
        <w:rPr>
          <w:rFonts w:hint="eastAsia" w:ascii="黑体" w:hAnsi="黑体" w:eastAsia="黑体" w:cs="黑体"/>
          <w:sz w:val="24"/>
          <w:szCs w:val="24"/>
          <w:lang w:val="en-US" w:eastAsia="zh-CN"/>
        </w:rPr>
        <w:t>文</w:t>
      </w:r>
      <w:r>
        <w:rPr>
          <w:rFonts w:hint="eastAsia" w:ascii="黑体" w:hAnsi="黑体" w:eastAsia="黑体" w:cs="黑体"/>
          <w:b w:val="0"/>
          <w:bCs w:val="0"/>
          <w:sz w:val="24"/>
          <w:szCs w:val="24"/>
          <w:lang w:val="en-US" w:eastAsia="zh-CN"/>
        </w:rPr>
        <w:t>件</w:t>
      </w:r>
      <w:r>
        <w:rPr>
          <w:rFonts w:hint="eastAsia" w:ascii="黑体" w:hAnsi="黑体" w:eastAsia="黑体" w:cs="黑体"/>
          <w:b w:val="0"/>
          <w:bCs w:val="0"/>
          <w:sz w:val="24"/>
          <w:szCs w:val="24"/>
        </w:rPr>
        <w:t>不可分割的部分。</w:t>
      </w:r>
    </w:p>
    <w:p w14:paraId="41AE79AE">
      <w:pPr>
        <w:pageBreakBefore w:val="0"/>
        <w:widowControl w:val="0"/>
        <w:kinsoku/>
        <w:wordWrap/>
        <w:overflowPunct/>
        <w:topLinePunct w:val="0"/>
        <w:autoSpaceDE/>
        <w:autoSpaceDN/>
        <w:bidi w:val="0"/>
        <w:snapToGrid w:val="0"/>
        <w:spacing w:line="420" w:lineRule="exact"/>
        <w:ind w:firstLine="480" w:firstLineChars="200"/>
        <w:jc w:val="left"/>
        <w:textAlignment w:val="auto"/>
        <w:rPr>
          <w:rFonts w:hint="eastAsia" w:ascii="黑体" w:hAnsi="黑体" w:eastAsia="黑体" w:cs="黑体"/>
          <w:b w:val="0"/>
          <w:bCs w:val="0"/>
          <w:color w:val="auto"/>
          <w:sz w:val="24"/>
          <w:szCs w:val="24"/>
          <w:highlight w:val="none"/>
        </w:rPr>
      </w:pPr>
      <w:bookmarkStart w:id="129" w:name="_Toc3061"/>
      <w:bookmarkStart w:id="130" w:name="_Toc9532"/>
      <w:bookmarkStart w:id="131" w:name="_Toc65660357"/>
      <w:bookmarkStart w:id="132" w:name="_Toc1922"/>
      <w:bookmarkStart w:id="133" w:name="_Toc106034797"/>
      <w:r>
        <w:rPr>
          <w:rFonts w:hint="eastAsia" w:ascii="黑体" w:hAnsi="黑体" w:eastAsia="黑体" w:cs="黑体"/>
          <w:b w:val="0"/>
          <w:bCs w:val="0"/>
          <w:color w:val="auto"/>
          <w:sz w:val="24"/>
          <w:szCs w:val="24"/>
          <w:highlight w:val="none"/>
        </w:rPr>
        <w:t>（三）</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文件的解释</w:t>
      </w:r>
    </w:p>
    <w:p w14:paraId="59CAA37B">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供应商如对</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文件有疑问，必须以书面形式在提交响应文件截止时间</w:t>
      </w:r>
      <w:r>
        <w:rPr>
          <w:rFonts w:hint="eastAsia" w:ascii="黑体" w:hAnsi="黑体" w:eastAsia="黑体" w:cs="黑体"/>
          <w:b w:val="0"/>
          <w:bCs w:val="0"/>
          <w:color w:val="auto"/>
          <w:sz w:val="24"/>
          <w:szCs w:val="24"/>
          <w:highlight w:val="none"/>
          <w:lang w:val="en-US" w:eastAsia="zh-CN"/>
        </w:rPr>
        <w:t>2</w:t>
      </w:r>
      <w:r>
        <w:rPr>
          <w:rFonts w:hint="eastAsia" w:ascii="黑体" w:hAnsi="黑体" w:eastAsia="黑体" w:cs="黑体"/>
          <w:b w:val="0"/>
          <w:bCs w:val="0"/>
          <w:color w:val="auto"/>
          <w:sz w:val="24"/>
          <w:szCs w:val="24"/>
          <w:highlight w:val="none"/>
        </w:rPr>
        <w:t>个工作日前向采购人（或采购代理机构）要求澄清，采购人（或采购代理机构）可视具体情况做出处理或答复。如供应商未提出疑问，视为完全理解并同意本</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文件。一经进入</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程序，即视为供应商已详细阅读全部文件资料，完全理解</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文件所有条款内容并同意放弃对这方面有不明白及误解的权利。</w:t>
      </w:r>
    </w:p>
    <w:p w14:paraId="1B065238">
      <w:pPr>
        <w:pStyle w:val="3"/>
        <w:pageBreakBefore w:val="0"/>
        <w:widowControl w:val="0"/>
        <w:kinsoku/>
        <w:wordWrap/>
        <w:overflowPunct/>
        <w:topLinePunct w:val="0"/>
        <w:autoSpaceDE/>
        <w:autoSpaceDN/>
        <w:bidi w:val="0"/>
        <w:adjustRightInd w:val="0"/>
        <w:snapToGrid w:val="0"/>
        <w:spacing w:before="0" w:after="0" w:line="420" w:lineRule="exact"/>
        <w:ind w:firstLine="480" w:firstLineChars="200"/>
        <w:jc w:val="left"/>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color w:val="auto"/>
          <w:sz w:val="24"/>
          <w:szCs w:val="24"/>
          <w:highlight w:val="none"/>
        </w:rPr>
        <w:t>（</w:t>
      </w:r>
      <w:r>
        <w:rPr>
          <w:rFonts w:hint="eastAsia" w:ascii="黑体" w:hAnsi="黑体" w:eastAsia="黑体" w:cs="黑体"/>
          <w:b w:val="0"/>
          <w:bCs w:val="0"/>
          <w:color w:val="auto"/>
          <w:sz w:val="24"/>
          <w:szCs w:val="24"/>
          <w:highlight w:val="none"/>
          <w:lang w:val="en-US" w:eastAsia="zh-CN"/>
        </w:rPr>
        <w:t>四</w:t>
      </w:r>
      <w:r>
        <w:rPr>
          <w:rFonts w:hint="eastAsia" w:ascii="黑体" w:hAnsi="黑体" w:eastAsia="黑体" w:cs="黑体"/>
          <w:b w:val="0"/>
          <w:bCs w:val="0"/>
          <w:color w:val="auto"/>
          <w:sz w:val="24"/>
          <w:szCs w:val="24"/>
          <w:highlight w:val="none"/>
        </w:rPr>
        <w:t>）评审的依据为</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文件和响应文件（含有效的书面承诺）。</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小组判断响应文件对</w:t>
      </w:r>
      <w:r>
        <w:rPr>
          <w:rFonts w:hint="eastAsia" w:ascii="黑体" w:hAnsi="黑体" w:eastAsia="黑体" w:cs="黑体"/>
          <w:b w:val="0"/>
          <w:bCs w:val="0"/>
          <w:color w:val="auto"/>
          <w:sz w:val="24"/>
          <w:szCs w:val="24"/>
          <w:highlight w:val="none"/>
          <w:lang w:eastAsia="zh-CN"/>
        </w:rPr>
        <w:t>询比</w:t>
      </w:r>
      <w:r>
        <w:rPr>
          <w:rFonts w:hint="eastAsia" w:ascii="黑体" w:hAnsi="黑体" w:eastAsia="黑体" w:cs="黑体"/>
          <w:b w:val="0"/>
          <w:bCs w:val="0"/>
          <w:color w:val="auto"/>
          <w:sz w:val="24"/>
          <w:szCs w:val="24"/>
          <w:highlight w:val="none"/>
        </w:rPr>
        <w:t>文件的响应，仅基于响应文件本身而不靠外部证据</w:t>
      </w:r>
      <w:r>
        <w:rPr>
          <w:rFonts w:hint="eastAsia" w:ascii="黑体" w:hAnsi="黑体" w:eastAsia="黑体" w:cs="黑体"/>
          <w:b w:val="0"/>
          <w:bCs w:val="0"/>
          <w:color w:val="auto"/>
          <w:sz w:val="24"/>
          <w:szCs w:val="24"/>
          <w:highlight w:val="none"/>
          <w:lang w:eastAsia="zh-CN"/>
        </w:rPr>
        <w:t>。</w:t>
      </w:r>
    </w:p>
    <w:bookmarkEnd w:id="129"/>
    <w:bookmarkEnd w:id="130"/>
    <w:bookmarkEnd w:id="131"/>
    <w:bookmarkEnd w:id="132"/>
    <w:bookmarkEnd w:id="133"/>
    <w:p w14:paraId="41E2C263">
      <w:pPr>
        <w:pStyle w:val="3"/>
        <w:pageBreakBefore w:val="0"/>
        <w:widowControl w:val="0"/>
        <w:kinsoku/>
        <w:wordWrap/>
        <w:overflowPunct/>
        <w:topLinePunct w:val="0"/>
        <w:autoSpaceDE/>
        <w:autoSpaceDN/>
        <w:bidi w:val="0"/>
        <w:spacing w:before="0" w:after="0" w:line="420" w:lineRule="exact"/>
        <w:ind w:firstLine="482" w:firstLineChars="200"/>
        <w:jc w:val="left"/>
        <w:textAlignment w:val="auto"/>
        <w:rPr>
          <w:rFonts w:hint="eastAsia" w:ascii="黑体" w:hAnsi="黑体" w:eastAsia="黑体" w:cs="黑体"/>
          <w:color w:val="auto"/>
          <w:sz w:val="24"/>
          <w:szCs w:val="24"/>
          <w:highlight w:val="none"/>
        </w:rPr>
      </w:pPr>
      <w:bookmarkStart w:id="134" w:name="_Toc16648"/>
      <w:bookmarkStart w:id="135" w:name="_Toc23778"/>
      <w:bookmarkStart w:id="136" w:name="_Toc106034801"/>
      <w:bookmarkStart w:id="137" w:name="_Toc65660361"/>
      <w:bookmarkStart w:id="138" w:name="_Toc3127"/>
      <w:r>
        <w:rPr>
          <w:rFonts w:hint="eastAsia" w:ascii="黑体" w:hAnsi="黑体" w:eastAsia="黑体" w:cs="黑体"/>
          <w:color w:val="auto"/>
          <w:sz w:val="24"/>
          <w:szCs w:val="24"/>
          <w:highlight w:val="none"/>
        </w:rPr>
        <w:t>三、</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要求</w:t>
      </w:r>
    </w:p>
    <w:p w14:paraId="2C720B54">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（一）响应文件</w:t>
      </w:r>
    </w:p>
    <w:p w14:paraId="02946BCB">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1.供应商应当按照</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文件的要求编制响应文件，并对</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文件提出的要求和条件作出实质性响应，响应文件原则上采用软面订本，同时应编制完整的页码、目录。</w:t>
      </w:r>
    </w:p>
    <w:p w14:paraId="3B29B30F">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2.响应文件组成</w:t>
      </w:r>
    </w:p>
    <w:p w14:paraId="36817DE9">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EDE1E64">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（二）联合体</w:t>
      </w:r>
    </w:p>
    <w:p w14:paraId="5AA06127">
      <w:pPr>
        <w:pageBreakBefore w:val="0"/>
        <w:widowControl w:val="0"/>
        <w:kinsoku/>
        <w:wordWrap/>
        <w:overflowPunct/>
        <w:topLinePunct w:val="0"/>
        <w:autoSpaceDE/>
        <w:autoSpaceDN/>
        <w:bidi w:val="0"/>
        <w:spacing w:line="420" w:lineRule="exact"/>
        <w:ind w:firstLine="482" w:firstLineChars="200"/>
        <w:jc w:val="left"/>
        <w:textAlignment w:val="auto"/>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本项目不接受联合体。</w:t>
      </w:r>
    </w:p>
    <w:p w14:paraId="35B158A1">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有效期：响应文件及有关承诺文件有效期为提交响应文件截止时间起90天。</w:t>
      </w:r>
    </w:p>
    <w:p w14:paraId="299F17E2">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四</w:t>
      </w:r>
      <w:r>
        <w:rPr>
          <w:rFonts w:hint="eastAsia" w:ascii="黑体" w:hAnsi="黑体" w:eastAsia="黑体" w:cs="黑体"/>
          <w:color w:val="auto"/>
          <w:sz w:val="24"/>
          <w:szCs w:val="24"/>
          <w:highlight w:val="none"/>
        </w:rPr>
        <w:t>）修正错误</w:t>
      </w:r>
    </w:p>
    <w:p w14:paraId="268D346C">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1.若供应商所递交的响应文件的价格出现大写金额和小写金额不一致的错误，以大写金额修正为准。</w:t>
      </w:r>
    </w:p>
    <w:p w14:paraId="36AC8C11">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16D1C116">
      <w:pPr>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五</w:t>
      </w:r>
      <w:r>
        <w:rPr>
          <w:rFonts w:hint="eastAsia" w:ascii="黑体" w:hAnsi="黑体" w:eastAsia="黑体" w:cs="黑体"/>
          <w:color w:val="auto"/>
          <w:sz w:val="24"/>
          <w:szCs w:val="24"/>
          <w:highlight w:val="none"/>
        </w:rPr>
        <w:t>）提交响应文件的份数</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签署</w:t>
      </w:r>
      <w:r>
        <w:rPr>
          <w:rFonts w:hint="eastAsia" w:ascii="黑体" w:hAnsi="黑体" w:eastAsia="黑体" w:cs="黑体"/>
          <w:color w:val="auto"/>
          <w:sz w:val="24"/>
          <w:szCs w:val="24"/>
          <w:highlight w:val="none"/>
          <w:lang w:val="en-US" w:eastAsia="zh-CN"/>
        </w:rPr>
        <w:t>和递交</w:t>
      </w:r>
    </w:p>
    <w:p w14:paraId="33335418">
      <w:pPr>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1.线下纸质响应文件提交规则</w:t>
      </w:r>
    </w:p>
    <w:p w14:paraId="1362ABF5">
      <w:pPr>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响应文件一式四份，其中正本一份，副本二份，电子文档一份（电子文档内容应与纸质文件正本一致，如不一致以纸质文件正本为准。推荐采用U盘为电子文档载体）；副本可为正本的复印件，应与正本一致，如出现不一致情况以正本为准。</w:t>
      </w:r>
    </w:p>
    <w:p w14:paraId="560CC974">
      <w:pPr>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响应文件按</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文件“第七篇响应文件编制要求”要求签署或盖章。</w:t>
      </w:r>
    </w:p>
    <w:p w14:paraId="2F67F49A">
      <w:pPr>
        <w:pageBreakBefore w:val="0"/>
        <w:widowControl w:val="0"/>
        <w:kinsoku/>
        <w:wordWrap/>
        <w:overflowPunct/>
        <w:topLinePunct w:val="0"/>
        <w:autoSpaceDE/>
        <w:autoSpaceDN/>
        <w:bidi w:val="0"/>
        <w:adjustRightInd/>
        <w:snapToGrid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）响应文件的递交</w:t>
      </w:r>
    </w:p>
    <w:p w14:paraId="464814F8">
      <w:pPr>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1响应文件的密封</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响应文件的正本、副本</w:t>
      </w:r>
      <w:r>
        <w:rPr>
          <w:rFonts w:hint="eastAsia" w:ascii="黑体" w:hAnsi="黑体" w:eastAsia="黑体" w:cs="黑体"/>
          <w:color w:val="auto"/>
          <w:sz w:val="24"/>
          <w:szCs w:val="24"/>
          <w:lang w:val="en-US" w:eastAsia="zh-CN"/>
        </w:rPr>
        <w:t>以及电子文档</w:t>
      </w:r>
      <w:r>
        <w:rPr>
          <w:rFonts w:hint="eastAsia" w:ascii="黑体" w:hAnsi="黑体" w:eastAsia="黑体" w:cs="黑体"/>
          <w:color w:val="auto"/>
          <w:sz w:val="24"/>
          <w:szCs w:val="24"/>
        </w:rPr>
        <w:t>均应密封送达递交响应文件地点，应在封套上注明项目名称、供应商名称。若正本、副本</w:t>
      </w:r>
      <w:r>
        <w:rPr>
          <w:rFonts w:hint="eastAsia" w:ascii="黑体" w:hAnsi="黑体" w:eastAsia="黑体" w:cs="黑体"/>
          <w:color w:val="auto"/>
          <w:sz w:val="24"/>
          <w:szCs w:val="24"/>
          <w:lang w:val="en-US" w:eastAsia="zh-CN"/>
        </w:rPr>
        <w:t>以及电子文档</w:t>
      </w:r>
      <w:r>
        <w:rPr>
          <w:rFonts w:hint="eastAsia" w:ascii="黑体" w:hAnsi="黑体" w:eastAsia="黑体" w:cs="黑体"/>
          <w:color w:val="auto"/>
          <w:sz w:val="24"/>
          <w:szCs w:val="24"/>
        </w:rPr>
        <w:t>分别进行密封的，还应在封套上注明“正本”、“副本”</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lang w:val="en-US" w:eastAsia="zh-CN"/>
        </w:rPr>
        <w:t>电子文档”</w:t>
      </w:r>
      <w:r>
        <w:rPr>
          <w:rFonts w:hint="eastAsia" w:ascii="黑体" w:hAnsi="黑体" w:eastAsia="黑体" w:cs="黑体"/>
          <w:color w:val="auto"/>
          <w:sz w:val="24"/>
          <w:szCs w:val="24"/>
        </w:rPr>
        <w:t>字样。</w:t>
      </w:r>
    </w:p>
    <w:p w14:paraId="2E5F7F37">
      <w:pPr>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.2封套的封口处应加盖供应商公章或由法定代表人授权代表签字。</w:t>
      </w:r>
    </w:p>
    <w:p w14:paraId="14D3006F">
      <w:pPr>
        <w:pageBreakBefore w:val="0"/>
        <w:widowControl w:val="0"/>
        <w:kinsoku/>
        <w:wordWrap/>
        <w:overflowPunct/>
        <w:topLinePunct w:val="0"/>
        <w:autoSpaceDE/>
        <w:autoSpaceDN/>
        <w:bidi w:val="0"/>
        <w:adjustRightInd/>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lang w:val="en-US" w:eastAsia="zh-CN"/>
        </w:rPr>
        <w:t>3.3</w:t>
      </w:r>
      <w:r>
        <w:rPr>
          <w:rFonts w:hint="eastAsia" w:ascii="黑体" w:hAnsi="黑体" w:eastAsia="黑体" w:cs="黑体"/>
          <w:color w:val="auto"/>
          <w:sz w:val="24"/>
          <w:szCs w:val="24"/>
        </w:rPr>
        <w:t>如果未按上述规定进行密封，采购代理机构对响应文件误投、丢失或提前拆封不负责任。</w:t>
      </w:r>
    </w:p>
    <w:p w14:paraId="368129A3">
      <w:pPr>
        <w:pStyle w:val="3"/>
        <w:pageBreakBefore w:val="0"/>
        <w:widowControl w:val="0"/>
        <w:kinsoku/>
        <w:wordWrap/>
        <w:overflowPunct/>
        <w:topLinePunct w:val="0"/>
        <w:autoSpaceDE/>
        <w:autoSpaceDN/>
        <w:bidi w:val="0"/>
        <w:adjustRightInd/>
        <w:spacing w:before="0" w:after="0" w:line="420" w:lineRule="exact"/>
        <w:ind w:firstLine="480" w:firstLineChars="200"/>
        <w:jc w:val="left"/>
        <w:textAlignment w:val="auto"/>
        <w:rPr>
          <w:rFonts w:hint="eastAsia" w:ascii="黑体" w:hAnsi="黑体" w:eastAsia="黑体" w:cs="黑体"/>
          <w:b w:val="0"/>
          <w:bCs/>
          <w:color w:val="auto"/>
          <w:sz w:val="24"/>
          <w:szCs w:val="24"/>
          <w:highlight w:val="none"/>
          <w:lang w:val="en-US" w:eastAsia="zh-CN"/>
        </w:rPr>
      </w:pPr>
      <w:bookmarkStart w:id="139" w:name="_Toc51227587"/>
      <w:bookmarkStart w:id="140" w:name="_Toc487465891"/>
      <w:bookmarkStart w:id="141" w:name="_Toc487466034"/>
      <w:bookmarkStart w:id="142" w:name="_Toc57624446"/>
      <w:r>
        <w:rPr>
          <w:rFonts w:hint="eastAsia" w:ascii="黑体" w:hAnsi="黑体" w:eastAsia="黑体" w:cs="黑体"/>
          <w:b w:val="0"/>
          <w:bCs/>
          <w:color w:val="auto"/>
          <w:sz w:val="24"/>
          <w:szCs w:val="24"/>
          <w:highlight w:val="none"/>
          <w:lang w:val="en-US" w:eastAsia="zh-CN"/>
        </w:rPr>
        <w:t>2.响应文件提交规则</w:t>
      </w:r>
    </w:p>
    <w:p w14:paraId="6814C377">
      <w:pPr>
        <w:pStyle w:val="267"/>
        <w:pageBreakBefore w:val="0"/>
        <w:numPr>
          <w:ilvl w:val="0"/>
          <w:numId w:val="0"/>
        </w:numPr>
        <w:kinsoku/>
        <w:wordWrap/>
        <w:topLinePunct w:val="0"/>
        <w:bidi w:val="0"/>
        <w:adjustRightInd/>
        <w:snapToGrid w:val="0"/>
        <w:spacing w:before="0" w:after="0" w:line="420" w:lineRule="exact"/>
        <w:ind w:firstLine="480" w:firstLineChars="200"/>
        <w:jc w:val="both"/>
        <w:textAlignment w:val="auto"/>
        <w:rPr>
          <w:rFonts w:hint="eastAsia" w:ascii="黑体" w:hAnsi="黑体" w:eastAsia="黑体" w:cs="黑体"/>
          <w:color w:val="auto"/>
          <w:sz w:val="24"/>
          <w:szCs w:val="24"/>
          <w:highlight w:val="none"/>
        </w:rPr>
      </w:pPr>
      <w:r>
        <w:rPr>
          <w:rFonts w:hint="eastAsia" w:ascii="黑体" w:hAnsi="黑体" w:eastAsia="黑体" w:cs="黑体"/>
          <w:color w:val="auto"/>
          <w:kern w:val="2"/>
          <w:sz w:val="24"/>
          <w:szCs w:val="24"/>
          <w:highlight w:val="none"/>
          <w:lang w:val="en-US" w:eastAsia="zh-CN" w:bidi="ar-SA"/>
        </w:rPr>
        <w:t>供应商须同时在规定时间内上传盖章后的电子文档一份至</w:t>
      </w:r>
      <w:r>
        <w:rPr>
          <w:rFonts w:hint="eastAsia" w:ascii="黑体" w:hAnsi="黑体" w:eastAsia="黑体" w:cs="黑体"/>
          <w:color w:val="auto"/>
          <w:kern w:val="0"/>
          <w:sz w:val="24"/>
          <w:szCs w:val="24"/>
          <w:highlight w:val="none"/>
          <w:lang w:eastAsia="zh-CN"/>
        </w:rPr>
        <w:t>（电子邮箱：</w:t>
      </w:r>
      <w:r>
        <w:rPr>
          <w:rFonts w:hint="eastAsia" w:ascii="黑体" w:hAnsi="黑体" w:eastAsia="黑体" w:cs="黑体"/>
          <w:color w:val="auto"/>
          <w:kern w:val="0"/>
          <w:sz w:val="24"/>
          <w:szCs w:val="24"/>
          <w:highlight w:val="none"/>
          <w:lang w:val="en-US" w:eastAsia="zh-CN"/>
        </w:rPr>
        <w:t>947936315</w:t>
      </w:r>
      <w:r>
        <w:rPr>
          <w:rFonts w:hint="eastAsia" w:ascii="黑体" w:hAnsi="黑体" w:eastAsia="黑体" w:cs="黑体"/>
          <w:color w:val="auto"/>
          <w:kern w:val="0"/>
          <w:sz w:val="24"/>
          <w:szCs w:val="24"/>
          <w:highlight w:val="none"/>
          <w:lang w:eastAsia="zh-CN"/>
        </w:rPr>
        <w:t>@qq.com）</w:t>
      </w:r>
      <w:r>
        <w:rPr>
          <w:rFonts w:hint="eastAsia" w:ascii="黑体" w:hAnsi="黑体" w:eastAsia="黑体" w:cs="黑体"/>
          <w:color w:val="auto"/>
          <w:kern w:val="2"/>
          <w:sz w:val="24"/>
          <w:szCs w:val="24"/>
          <w:highlight w:val="none"/>
          <w:lang w:val="en-US" w:eastAsia="zh-CN" w:bidi="ar-SA"/>
        </w:rPr>
        <w:t>（电子文档内容应与纸质文件正本一致，如不一致以纸质文件正本为准）。</w:t>
      </w:r>
    </w:p>
    <w:p w14:paraId="6C8BFF24">
      <w:pPr>
        <w:pStyle w:val="3"/>
        <w:pageBreakBefore w:val="0"/>
        <w:widowControl w:val="0"/>
        <w:kinsoku/>
        <w:wordWrap/>
        <w:overflowPunct/>
        <w:topLinePunct w:val="0"/>
        <w:autoSpaceDE/>
        <w:autoSpaceDN/>
        <w:bidi w:val="0"/>
        <w:adjustRightInd/>
        <w:spacing w:before="0" w:after="0" w:line="420" w:lineRule="exact"/>
        <w:ind w:firstLine="482"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四、成交供应商的确认和变更</w:t>
      </w:r>
      <w:bookmarkEnd w:id="139"/>
      <w:bookmarkEnd w:id="140"/>
      <w:bookmarkEnd w:id="141"/>
      <w:bookmarkEnd w:id="142"/>
    </w:p>
    <w:p w14:paraId="75A57D7E">
      <w:pPr>
        <w:pageBreakBefore w:val="0"/>
        <w:widowControl w:val="0"/>
        <w:kinsoku/>
        <w:wordWrap/>
        <w:overflowPunct/>
        <w:topLinePunct w:val="0"/>
        <w:autoSpaceDE/>
        <w:autoSpaceDN/>
        <w:bidi w:val="0"/>
        <w:snapToGrid w:val="0"/>
        <w:spacing w:line="420" w:lineRule="exact"/>
        <w:ind w:firstLine="480" w:firstLineChars="200"/>
        <w:jc w:val="left"/>
        <w:textAlignment w:val="auto"/>
        <w:outlineLvl w:val="2"/>
        <w:rPr>
          <w:rFonts w:hint="eastAsia" w:ascii="黑体" w:hAnsi="黑体" w:eastAsia="黑体" w:cs="黑体"/>
          <w:color w:val="auto"/>
          <w:sz w:val="24"/>
          <w:szCs w:val="24"/>
          <w:highlight w:val="none"/>
        </w:rPr>
      </w:pPr>
      <w:bookmarkStart w:id="143" w:name="_Toc57624447"/>
      <w:bookmarkStart w:id="144" w:name="_Toc102227321"/>
      <w:bookmarkStart w:id="145" w:name="_Toc487466035"/>
      <w:bookmarkStart w:id="146" w:name="_Toc487465892"/>
      <w:bookmarkStart w:id="147" w:name="_Toc342913395"/>
      <w:bookmarkStart w:id="148" w:name="_Toc51227588"/>
      <w:r>
        <w:rPr>
          <w:rFonts w:hint="eastAsia" w:ascii="黑体" w:hAnsi="黑体" w:eastAsia="黑体" w:cs="黑体"/>
          <w:color w:val="auto"/>
          <w:sz w:val="24"/>
          <w:szCs w:val="24"/>
          <w:highlight w:val="none"/>
        </w:rPr>
        <w:t>（一）成交供应商的确认</w:t>
      </w:r>
    </w:p>
    <w:p w14:paraId="02976581">
      <w:pPr>
        <w:pageBreakBefore w:val="0"/>
        <w:widowControl w:val="0"/>
        <w:kinsoku/>
        <w:wordWrap/>
        <w:overflowPunct/>
        <w:topLinePunct w:val="0"/>
        <w:autoSpaceDE/>
        <w:autoSpaceDN/>
        <w:bidi w:val="0"/>
        <w:snapToGrid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小组直接确定成交供应商。采购人逾期未确定成交供应商且不提出异议的，视为确定评审报告提出的排序第一的供应商为成交供应商。</w:t>
      </w:r>
    </w:p>
    <w:p w14:paraId="61632F0A">
      <w:pPr>
        <w:pageBreakBefore w:val="0"/>
        <w:widowControl w:val="0"/>
        <w:numPr>
          <w:ilvl w:val="0"/>
          <w:numId w:val="15"/>
        </w:numPr>
        <w:kinsoku/>
        <w:wordWrap/>
        <w:overflowPunct/>
        <w:topLinePunct w:val="0"/>
        <w:autoSpaceDE/>
        <w:autoSpaceDN/>
        <w:bidi w:val="0"/>
        <w:snapToGrid w:val="0"/>
        <w:spacing w:line="420" w:lineRule="exact"/>
        <w:ind w:firstLine="480" w:firstLineChars="200"/>
        <w:jc w:val="left"/>
        <w:textAlignment w:val="auto"/>
        <w:outlineLvl w:val="2"/>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成交供应商的变更</w:t>
      </w:r>
    </w:p>
    <w:p w14:paraId="63A5D27D">
      <w:pPr>
        <w:pageBreakBefore w:val="0"/>
        <w:widowControl w:val="0"/>
        <w:numPr>
          <w:ilvl w:val="0"/>
          <w:numId w:val="0"/>
        </w:numPr>
        <w:kinsoku/>
        <w:wordWrap/>
        <w:overflowPunct/>
        <w:topLinePunct w:val="0"/>
        <w:autoSpaceDE/>
        <w:autoSpaceDN/>
        <w:bidi w:val="0"/>
        <w:snapToGrid w:val="0"/>
        <w:spacing w:line="420" w:lineRule="exact"/>
        <w:ind w:firstLine="480" w:firstLineChars="200"/>
        <w:jc w:val="left"/>
        <w:textAlignment w:val="auto"/>
        <w:outlineLvl w:val="2"/>
        <w:rPr>
          <w:rFonts w:hint="eastAsia" w:ascii="黑体" w:hAnsi="黑体" w:eastAsia="黑体" w:cs="黑体"/>
          <w:b w:val="0"/>
          <w:color w:val="auto"/>
          <w:sz w:val="24"/>
          <w:szCs w:val="24"/>
          <w:highlight w:val="none"/>
        </w:rPr>
      </w:pPr>
      <w:r>
        <w:rPr>
          <w:rFonts w:hint="eastAsia" w:ascii="黑体" w:hAnsi="黑体" w:eastAsia="黑体" w:cs="黑体"/>
          <w:b w:val="0"/>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0C774CC3">
      <w:pPr>
        <w:pageBreakBefore w:val="0"/>
        <w:widowControl w:val="0"/>
        <w:numPr>
          <w:ilvl w:val="0"/>
          <w:numId w:val="0"/>
        </w:numPr>
        <w:kinsoku/>
        <w:wordWrap/>
        <w:overflowPunct/>
        <w:topLinePunct w:val="0"/>
        <w:autoSpaceDE/>
        <w:autoSpaceDN/>
        <w:bidi w:val="0"/>
        <w:snapToGrid w:val="0"/>
        <w:spacing w:line="420" w:lineRule="exact"/>
        <w:ind w:firstLine="482" w:firstLineChars="200"/>
        <w:jc w:val="left"/>
        <w:textAlignment w:val="auto"/>
        <w:outlineLvl w:val="2"/>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五、成交通知</w:t>
      </w:r>
      <w:bookmarkEnd w:id="143"/>
      <w:bookmarkEnd w:id="144"/>
      <w:bookmarkEnd w:id="145"/>
      <w:bookmarkEnd w:id="146"/>
      <w:bookmarkEnd w:id="147"/>
      <w:bookmarkEnd w:id="148"/>
    </w:p>
    <w:p w14:paraId="0BF9A9CE">
      <w:pPr>
        <w:pageBreakBefore w:val="0"/>
        <w:widowControl w:val="0"/>
        <w:kinsoku/>
        <w:wordWrap/>
        <w:overflowPunct/>
        <w:topLinePunct w:val="0"/>
        <w:autoSpaceDE/>
        <w:autoSpaceDN/>
        <w:bidi w:val="0"/>
        <w:spacing w:line="420" w:lineRule="exact"/>
        <w:ind w:firstLine="480" w:firstLineChars="200"/>
        <w:jc w:val="both"/>
        <w:textAlignment w:val="auto"/>
        <w:rPr>
          <w:rFonts w:hint="eastAsia" w:ascii="黑体" w:hAnsi="黑体" w:eastAsia="黑体" w:cs="黑体"/>
          <w:color w:val="auto"/>
          <w:sz w:val="24"/>
          <w:szCs w:val="24"/>
          <w:highlight w:val="none"/>
        </w:rPr>
      </w:pPr>
      <w:bookmarkStart w:id="149" w:name="_Toc51227589"/>
      <w:bookmarkStart w:id="150" w:name="_Toc521945272"/>
      <w:bookmarkStart w:id="151" w:name="_Toc57624448"/>
      <w:bookmarkStart w:id="152" w:name="_Toc498610728"/>
      <w:bookmarkStart w:id="153" w:name="_Toc487465894"/>
      <w:bookmarkStart w:id="154" w:name="_Toc487466037"/>
      <w:r>
        <w:rPr>
          <w:rFonts w:hint="eastAsia" w:ascii="黑体" w:hAnsi="黑体" w:eastAsia="黑体" w:cs="黑体"/>
          <w:color w:val="auto"/>
          <w:sz w:val="24"/>
          <w:szCs w:val="24"/>
          <w:highlight w:val="none"/>
        </w:rPr>
        <w:t>（一）成交供应商确定后，采购</w:t>
      </w:r>
      <w:r>
        <w:rPr>
          <w:rFonts w:hint="eastAsia" w:ascii="黑体" w:hAnsi="黑体" w:eastAsia="黑体" w:cs="黑体"/>
          <w:color w:val="auto"/>
          <w:sz w:val="24"/>
          <w:szCs w:val="24"/>
          <w:highlight w:val="none"/>
          <w:lang w:eastAsia="zh-CN"/>
        </w:rPr>
        <w:t>人在</w:t>
      </w:r>
      <w:r>
        <w:rPr>
          <w:rFonts w:hint="eastAsia" w:ascii="黑体" w:hAnsi="黑体" w:eastAsia="黑体" w:cs="黑体"/>
          <w:color w:val="auto"/>
          <w:sz w:val="24"/>
          <w:szCs w:val="24"/>
          <w:lang w:eastAsia="zh-CN"/>
        </w:rPr>
        <w:t>“</w:t>
      </w:r>
      <w:r>
        <w:rPr>
          <w:rFonts w:hint="eastAsia" w:ascii="黑体" w:hAnsi="黑体" w:eastAsia="黑体" w:cs="黑体"/>
          <w:color w:val="auto"/>
          <w:kern w:val="0"/>
          <w:sz w:val="24"/>
          <w:szCs w:val="24"/>
          <w:highlight w:val="none"/>
          <w:lang w:eastAsia="zh-CN"/>
        </w:rPr>
        <w:t>重庆市轻工业学校官网（https://www.cqqgx.com/）</w:t>
      </w:r>
      <w:r>
        <w:rPr>
          <w:rFonts w:hint="eastAsia" w:ascii="宋体" w:hAnsi="宋体" w:eastAsia="宋体" w:cs="宋体"/>
          <w:color w:val="auto"/>
          <w:kern w:val="0"/>
          <w:sz w:val="24"/>
          <w:szCs w:val="24"/>
          <w:lang w:eastAsia="zh-CN"/>
        </w:rPr>
        <w:t>”</w:t>
      </w:r>
      <w:r>
        <w:rPr>
          <w:rFonts w:hint="eastAsia" w:ascii="黑体" w:hAnsi="黑体" w:eastAsia="黑体" w:cs="黑体"/>
          <w:color w:val="auto"/>
          <w:sz w:val="24"/>
          <w:szCs w:val="24"/>
        </w:rPr>
        <w:t>上发布</w:t>
      </w:r>
      <w:r>
        <w:rPr>
          <w:rFonts w:hint="eastAsia" w:ascii="黑体" w:hAnsi="黑体" w:eastAsia="黑体" w:cs="黑体"/>
          <w:color w:val="auto"/>
          <w:sz w:val="24"/>
          <w:szCs w:val="24"/>
          <w:highlight w:val="none"/>
        </w:rPr>
        <w:t>上发布成交结果公告。</w:t>
      </w:r>
    </w:p>
    <w:p w14:paraId="0DC90340">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（二）结果公告发出同时，采购代理机构将以书面形式发出《成交通知书》。《成交通知书》一经发出即发生法律效力。</w:t>
      </w:r>
    </w:p>
    <w:p w14:paraId="1429C848">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（三）《成交通知书》将作为签订合同的依据。</w:t>
      </w:r>
    </w:p>
    <w:p w14:paraId="20EEE039">
      <w:pPr>
        <w:pStyle w:val="3"/>
        <w:pageBreakBefore w:val="0"/>
        <w:widowControl w:val="0"/>
        <w:kinsoku/>
        <w:wordWrap/>
        <w:overflowPunct/>
        <w:topLinePunct w:val="0"/>
        <w:autoSpaceDE/>
        <w:autoSpaceDN/>
        <w:bidi w:val="0"/>
        <w:spacing w:before="0" w:after="0" w:line="420" w:lineRule="exact"/>
        <w:ind w:firstLine="482" w:firstLineChars="200"/>
        <w:jc w:val="lef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六、</w:t>
      </w:r>
      <w:bookmarkEnd w:id="149"/>
      <w:bookmarkEnd w:id="150"/>
      <w:bookmarkEnd w:id="151"/>
      <w:bookmarkEnd w:id="152"/>
      <w:r>
        <w:rPr>
          <w:rFonts w:hint="eastAsia" w:ascii="黑体" w:hAnsi="黑体" w:eastAsia="黑体" w:cs="黑体"/>
          <w:color w:val="auto"/>
          <w:sz w:val="24"/>
          <w:szCs w:val="24"/>
          <w:highlight w:val="none"/>
        </w:rPr>
        <w:t>关于质疑和投诉</w:t>
      </w:r>
      <w:r>
        <w:rPr>
          <w:rFonts w:hint="eastAsia" w:ascii="黑体" w:hAnsi="黑体" w:eastAsia="黑体" w:cs="黑体"/>
          <w:color w:val="auto"/>
          <w:sz w:val="24"/>
          <w:szCs w:val="24"/>
          <w:highlight w:val="none"/>
          <w:lang w:val="en-US" w:eastAsia="zh-CN"/>
        </w:rPr>
        <w:t xml:space="preserve">  </w:t>
      </w:r>
    </w:p>
    <w:p w14:paraId="05C70473">
      <w:pPr>
        <w:pStyle w:val="3"/>
        <w:pageBreakBefore w:val="0"/>
        <w:widowControl w:val="0"/>
        <w:kinsoku/>
        <w:wordWrap/>
        <w:overflowPunct/>
        <w:topLinePunct w:val="0"/>
        <w:autoSpaceDE/>
        <w:autoSpaceDN/>
        <w:bidi w:val="0"/>
        <w:spacing w:before="0" w:after="0" w:line="42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b w:val="0"/>
          <w:bCs/>
          <w:color w:val="auto"/>
          <w:sz w:val="24"/>
          <w:szCs w:val="24"/>
          <w:highlight w:val="none"/>
          <w:lang w:val="en-US" w:eastAsia="zh-CN"/>
        </w:rPr>
        <w:t>供应商如对询比文件有异议，请电话咨询采购代理机构或采购人。</w:t>
      </w:r>
      <w:bookmarkEnd w:id="134"/>
      <w:bookmarkEnd w:id="135"/>
      <w:bookmarkEnd w:id="136"/>
      <w:bookmarkEnd w:id="137"/>
      <w:bookmarkEnd w:id="138"/>
      <w:bookmarkEnd w:id="153"/>
      <w:bookmarkEnd w:id="154"/>
    </w:p>
    <w:p w14:paraId="744B9EE3">
      <w:pPr>
        <w:pStyle w:val="3"/>
        <w:pageBreakBefore w:val="0"/>
        <w:widowControl w:val="0"/>
        <w:kinsoku/>
        <w:wordWrap/>
        <w:overflowPunct/>
        <w:topLinePunct w:val="0"/>
        <w:autoSpaceDE/>
        <w:autoSpaceDN/>
        <w:bidi w:val="0"/>
        <w:adjustRightInd w:val="0"/>
        <w:snapToGrid w:val="0"/>
        <w:spacing w:before="0" w:after="0" w:line="420" w:lineRule="exact"/>
        <w:ind w:firstLine="482" w:firstLineChars="200"/>
        <w:jc w:val="left"/>
        <w:textAlignment w:val="auto"/>
        <w:rPr>
          <w:rFonts w:hint="eastAsia" w:ascii="黑体" w:hAnsi="黑体" w:eastAsia="黑体" w:cs="黑体"/>
          <w:sz w:val="24"/>
          <w:szCs w:val="24"/>
        </w:rPr>
      </w:pPr>
      <w:r>
        <w:rPr>
          <w:rFonts w:hint="eastAsia" w:ascii="黑体" w:hAnsi="黑体" w:eastAsia="黑体" w:cs="黑体"/>
          <w:sz w:val="24"/>
          <w:szCs w:val="24"/>
          <w:lang w:eastAsia="zh-CN"/>
        </w:rPr>
        <w:t>七</w:t>
      </w:r>
      <w:r>
        <w:rPr>
          <w:rFonts w:hint="eastAsia" w:ascii="黑体" w:hAnsi="黑体" w:eastAsia="黑体" w:cs="黑体"/>
          <w:sz w:val="24"/>
          <w:szCs w:val="24"/>
        </w:rPr>
        <w:t>、采购代理服务费</w:t>
      </w:r>
      <w:bookmarkEnd w:id="120"/>
      <w:bookmarkEnd w:id="121"/>
      <w:bookmarkEnd w:id="122"/>
      <w:bookmarkEnd w:id="123"/>
    </w:p>
    <w:p w14:paraId="74DFC68E">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lang w:eastAsia="zh-CN"/>
        </w:rPr>
      </w:pPr>
      <w:bookmarkStart w:id="155" w:name="_Toc65660363"/>
      <w:bookmarkStart w:id="156" w:name="_Toc106034655"/>
      <w:bookmarkStart w:id="157" w:name="_Toc4867"/>
      <w:bookmarkStart w:id="158" w:name="_Toc9730"/>
      <w:r>
        <w:rPr>
          <w:rFonts w:hint="eastAsia" w:ascii="黑体" w:hAnsi="黑体" w:eastAsia="黑体" w:cs="黑体"/>
          <w:color w:val="auto"/>
          <w:sz w:val="24"/>
          <w:szCs w:val="24"/>
        </w:rPr>
        <w:t>1.</w:t>
      </w:r>
      <w:r>
        <w:rPr>
          <w:rFonts w:hint="eastAsia" w:ascii="黑体" w:hAnsi="黑体" w:eastAsia="黑体" w:cs="黑体"/>
          <w:color w:val="auto"/>
          <w:sz w:val="24"/>
          <w:szCs w:val="24"/>
          <w:highlight w:val="none"/>
        </w:rPr>
        <w:t>本项目采购代理服务费</w:t>
      </w:r>
      <w:r>
        <w:rPr>
          <w:rFonts w:hint="eastAsia" w:ascii="黑体" w:hAnsi="黑体" w:eastAsia="黑体" w:cs="黑体"/>
          <w:color w:val="auto"/>
          <w:sz w:val="24"/>
          <w:szCs w:val="24"/>
          <w:highlight w:val="none"/>
          <w:lang w:eastAsia="zh-CN"/>
        </w:rPr>
        <w:t>按</w:t>
      </w:r>
      <w:r>
        <w:rPr>
          <w:rFonts w:hint="eastAsia" w:ascii="黑体" w:hAnsi="黑体" w:eastAsia="黑体" w:cs="黑体"/>
          <w:color w:val="auto"/>
          <w:sz w:val="24"/>
          <w:szCs w:val="24"/>
          <w:highlight w:val="none"/>
          <w:lang w:val="en-US" w:eastAsia="zh-CN"/>
        </w:rPr>
        <w:t>7000元收取</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lang w:eastAsia="zh-CN"/>
        </w:rPr>
        <w:t>成交供应商</w:t>
      </w:r>
      <w:r>
        <w:rPr>
          <w:rFonts w:hint="eastAsia" w:ascii="黑体" w:hAnsi="黑体" w:eastAsia="黑体" w:cs="黑体"/>
          <w:color w:val="auto"/>
          <w:sz w:val="24"/>
          <w:szCs w:val="24"/>
        </w:rPr>
        <w:t>在领取</w:t>
      </w:r>
      <w:r>
        <w:rPr>
          <w:rFonts w:hint="eastAsia" w:ascii="黑体" w:hAnsi="黑体" w:eastAsia="黑体" w:cs="黑体"/>
          <w:color w:val="auto"/>
          <w:sz w:val="24"/>
          <w:szCs w:val="24"/>
          <w:lang w:eastAsia="zh-CN"/>
        </w:rPr>
        <w:t>成交</w:t>
      </w:r>
      <w:r>
        <w:rPr>
          <w:rFonts w:hint="eastAsia" w:ascii="黑体" w:hAnsi="黑体" w:eastAsia="黑体" w:cs="黑体"/>
          <w:color w:val="auto"/>
          <w:sz w:val="24"/>
          <w:szCs w:val="24"/>
        </w:rPr>
        <w:t>通知书前向采购代理机构一次性支付采购代理服务费</w:t>
      </w:r>
      <w:r>
        <w:rPr>
          <w:rFonts w:hint="eastAsia" w:ascii="黑体" w:hAnsi="黑体" w:eastAsia="黑体" w:cs="黑体"/>
          <w:color w:val="auto"/>
          <w:sz w:val="24"/>
          <w:szCs w:val="24"/>
          <w:lang w:eastAsia="zh-CN"/>
        </w:rPr>
        <w:t>；</w:t>
      </w:r>
    </w:p>
    <w:p w14:paraId="566450FA">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2.采购代理机构服务费缴纳账号：</w:t>
      </w:r>
    </w:p>
    <w:p w14:paraId="5A58E8CB">
      <w:pPr>
        <w:pageBreakBefore w:val="0"/>
        <w:widowControl w:val="0"/>
        <w:kinsoku/>
        <w:wordWrap/>
        <w:overflowPunct/>
        <w:topLinePunct w:val="0"/>
        <w:autoSpaceDE/>
        <w:autoSpaceDN/>
        <w:bidi w:val="0"/>
        <w:snapToGrid w:val="0"/>
        <w:spacing w:line="4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户  名：重庆渝开洋工程管</w:t>
      </w:r>
      <w:bookmarkStart w:id="207" w:name="_GoBack"/>
      <w:bookmarkEnd w:id="207"/>
      <w:r>
        <w:rPr>
          <w:rFonts w:hint="eastAsia" w:ascii="黑体" w:hAnsi="黑体" w:eastAsia="黑体" w:cs="黑体"/>
          <w:sz w:val="24"/>
          <w:szCs w:val="24"/>
        </w:rPr>
        <w:t>理咨询有限公司</w:t>
      </w:r>
    </w:p>
    <w:p w14:paraId="7EF54F7A">
      <w:pPr>
        <w:pageBreakBefore w:val="0"/>
        <w:widowControl w:val="0"/>
        <w:kinsoku/>
        <w:wordWrap/>
        <w:overflowPunct/>
        <w:topLinePunct w:val="0"/>
        <w:autoSpaceDE/>
        <w:autoSpaceDN/>
        <w:bidi w:val="0"/>
        <w:snapToGrid w:val="0"/>
        <w:spacing w:line="4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 xml:space="preserve">开户行：交通银行股份有限公司重庆渝州新城支行    </w:t>
      </w:r>
    </w:p>
    <w:p w14:paraId="178BF2F2">
      <w:pPr>
        <w:pageBreakBefore w:val="0"/>
        <w:widowControl w:val="0"/>
        <w:kinsoku/>
        <w:wordWrap/>
        <w:overflowPunct/>
        <w:topLinePunct w:val="0"/>
        <w:autoSpaceDE/>
        <w:autoSpaceDN/>
        <w:bidi w:val="0"/>
        <w:snapToGrid w:val="0"/>
        <w:spacing w:line="420" w:lineRule="exact"/>
        <w:ind w:firstLine="720" w:firstLineChars="300"/>
        <w:jc w:val="left"/>
        <w:textAlignment w:val="auto"/>
        <w:rPr>
          <w:rFonts w:hint="eastAsia" w:ascii="黑体" w:hAnsi="黑体" w:eastAsia="黑体" w:cs="黑体"/>
          <w:sz w:val="24"/>
          <w:szCs w:val="24"/>
        </w:rPr>
      </w:pPr>
      <w:r>
        <w:rPr>
          <w:rFonts w:hint="eastAsia" w:ascii="黑体" w:hAnsi="黑体" w:eastAsia="黑体" w:cs="黑体"/>
          <w:sz w:val="24"/>
          <w:szCs w:val="24"/>
        </w:rPr>
        <w:t xml:space="preserve">账  号：500500212013000739418 </w:t>
      </w:r>
    </w:p>
    <w:bookmarkEnd w:id="55"/>
    <w:bookmarkEnd w:id="56"/>
    <w:bookmarkEnd w:id="93"/>
    <w:bookmarkEnd w:id="94"/>
    <w:bookmarkEnd w:id="155"/>
    <w:bookmarkEnd w:id="156"/>
    <w:bookmarkEnd w:id="157"/>
    <w:bookmarkEnd w:id="158"/>
    <w:p w14:paraId="5060AB56">
      <w:pPr>
        <w:pageBreakBefore w:val="0"/>
        <w:widowControl w:val="0"/>
        <w:kinsoku/>
        <w:wordWrap/>
        <w:overflowPunct/>
        <w:topLinePunct w:val="0"/>
        <w:autoSpaceDE/>
        <w:autoSpaceDN/>
        <w:bidi w:val="0"/>
        <w:spacing w:line="420" w:lineRule="exact"/>
        <w:ind w:firstLine="482" w:firstLineChars="200"/>
        <w:textAlignment w:val="auto"/>
        <w:rPr>
          <w:rFonts w:hint="eastAsia" w:ascii="黑体" w:hAnsi="黑体" w:eastAsia="黑体" w:cs="黑体"/>
          <w:b/>
          <w:bCs/>
          <w:color w:val="auto"/>
          <w:sz w:val="24"/>
          <w:szCs w:val="24"/>
          <w:highlight w:val="none"/>
          <w:lang w:val="en-US" w:eastAsia="zh-CN"/>
        </w:rPr>
      </w:pPr>
      <w:bookmarkStart w:id="159" w:name="_Toc14861"/>
      <w:bookmarkStart w:id="160" w:name="_Toc10599"/>
      <w:bookmarkStart w:id="161" w:name="_Toc65660365"/>
      <w:bookmarkStart w:id="162" w:name="_Toc106034806"/>
      <w:bookmarkStart w:id="163" w:name="_Toc28162"/>
      <w:bookmarkStart w:id="164" w:name="_Toc26985"/>
      <w:bookmarkStart w:id="165" w:name="_Toc7227"/>
      <w:bookmarkStart w:id="166" w:name="_Toc12789072"/>
      <w:r>
        <w:rPr>
          <w:rFonts w:hint="eastAsia" w:ascii="黑体" w:hAnsi="黑体" w:eastAsia="黑体" w:cs="黑体"/>
          <w:b/>
          <w:bCs/>
          <w:color w:val="auto"/>
          <w:sz w:val="24"/>
          <w:szCs w:val="24"/>
          <w:lang w:val="en-US" w:eastAsia="zh-CN"/>
        </w:rPr>
        <w:t>八、</w:t>
      </w:r>
      <w:r>
        <w:rPr>
          <w:rFonts w:hint="eastAsia" w:ascii="黑体" w:hAnsi="黑体" w:eastAsia="黑体" w:cs="黑体"/>
          <w:b/>
          <w:bCs/>
          <w:color w:val="auto"/>
          <w:sz w:val="24"/>
          <w:szCs w:val="24"/>
          <w:highlight w:val="none"/>
          <w:lang w:val="en-US" w:eastAsia="zh-CN"/>
        </w:rPr>
        <w:t>签订合同</w:t>
      </w:r>
    </w:p>
    <w:p w14:paraId="26755E69">
      <w:pPr>
        <w:pageBreakBefore w:val="0"/>
        <w:widowControl w:val="0"/>
        <w:numPr>
          <w:ilvl w:val="0"/>
          <w:numId w:val="0"/>
        </w:numPr>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（一）采购人原则上应在成交通知书发出之日起二十日内和成交供应商签订采购合同，无正当理由不得拒绝或拖延合同签订。所签订的合同不得对</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文件和供应商的响应文件作实质性修改。其他未尽事宜由采购人和成交供应商在采购合同中详细约定。</w:t>
      </w:r>
    </w:p>
    <w:p w14:paraId="5A491ED8">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二</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询比</w:t>
      </w:r>
      <w:r>
        <w:rPr>
          <w:rFonts w:hint="eastAsia" w:ascii="黑体" w:hAnsi="黑体" w:eastAsia="黑体" w:cs="黑体"/>
          <w:color w:val="auto"/>
          <w:sz w:val="24"/>
          <w:szCs w:val="24"/>
          <w:highlight w:val="none"/>
        </w:rPr>
        <w:t>文件、供应商的响应文件及澄清文件等，均为签订采购合同的依据。</w:t>
      </w:r>
    </w:p>
    <w:p w14:paraId="4D60C6ED">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三</w:t>
      </w:r>
      <w:r>
        <w:rPr>
          <w:rFonts w:hint="eastAsia" w:ascii="黑体" w:hAnsi="黑体" w:eastAsia="黑体" w:cs="黑体"/>
          <w:color w:val="auto"/>
          <w:sz w:val="24"/>
          <w:szCs w:val="24"/>
          <w:highlight w:val="none"/>
        </w:rPr>
        <w:t>）合同生效条款由供需双方约定，法律、行政法规规定应当办理批准、登记等手续后生效的合同，依照其规定。</w:t>
      </w:r>
    </w:p>
    <w:p w14:paraId="6D4968B1">
      <w:pPr>
        <w:pageBreakBefore w:val="0"/>
        <w:widowControl w:val="0"/>
        <w:kinsoku/>
        <w:wordWrap/>
        <w:overflowPunct/>
        <w:topLinePunct w:val="0"/>
        <w:autoSpaceDE/>
        <w:autoSpaceDN/>
        <w:bidi w:val="0"/>
        <w:spacing w:line="420" w:lineRule="exact"/>
        <w:ind w:firstLine="480" w:firstLineChars="200"/>
        <w:jc w:val="lef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四</w:t>
      </w:r>
      <w:r>
        <w:rPr>
          <w:rFonts w:hint="eastAsia" w:ascii="黑体" w:hAnsi="黑体" w:eastAsia="黑体" w:cs="黑体"/>
          <w:color w:val="auto"/>
          <w:sz w:val="24"/>
          <w:szCs w:val="24"/>
          <w:highlight w:val="none"/>
        </w:rPr>
        <w:t>）合同原则上应按照</w:t>
      </w:r>
      <w:r>
        <w:rPr>
          <w:rFonts w:hint="eastAsia" w:ascii="黑体" w:hAnsi="黑体" w:eastAsia="黑体" w:cs="黑体"/>
          <w:color w:val="auto"/>
          <w:sz w:val="24"/>
          <w:szCs w:val="24"/>
          <w:highlight w:val="none"/>
          <w:lang w:eastAsia="zh-CN"/>
        </w:rPr>
        <w:t>第六篇采购合同</w:t>
      </w:r>
      <w:r>
        <w:rPr>
          <w:rFonts w:hint="eastAsia" w:ascii="黑体" w:hAnsi="黑体" w:eastAsia="黑体" w:cs="黑体"/>
          <w:color w:val="auto"/>
          <w:sz w:val="24"/>
          <w:szCs w:val="24"/>
          <w:highlight w:val="none"/>
        </w:rPr>
        <w:t>签订，相关单位要求适用合同通用格式版本的，应按其要求另行签订其他合同</w:t>
      </w:r>
      <w:r>
        <w:rPr>
          <w:rFonts w:hint="eastAsia" w:ascii="黑体" w:hAnsi="黑体" w:eastAsia="黑体" w:cs="黑体"/>
          <w:color w:val="auto"/>
          <w:sz w:val="24"/>
          <w:szCs w:val="24"/>
          <w:highlight w:val="none"/>
          <w:lang w:eastAsia="zh-CN"/>
        </w:rPr>
        <w:t>定。</w:t>
      </w:r>
      <w:bookmarkStart w:id="167" w:name="_Toc106030902"/>
      <w:r>
        <w:rPr>
          <w:rFonts w:hint="eastAsia" w:ascii="黑体" w:hAnsi="黑体" w:eastAsia="黑体" w:cs="黑体"/>
          <w:color w:val="auto"/>
          <w:sz w:val="24"/>
          <w:szCs w:val="24"/>
          <w:highlight w:val="none"/>
          <w:lang w:val="en-US" w:eastAsia="zh-CN"/>
        </w:rPr>
        <w:t xml:space="preserve"> </w:t>
      </w:r>
    </w:p>
    <w:bookmarkEnd w:id="167"/>
    <w:p w14:paraId="7DC4F83D">
      <w:pPr>
        <w:rPr>
          <w:rFonts w:hint="eastAsia" w:ascii="仿宋" w:hAnsi="仿宋" w:eastAsia="仿宋" w:cs="仿宋"/>
          <w:b/>
          <w:bCs/>
          <w:sz w:val="32"/>
          <w:szCs w:val="32"/>
        </w:rPr>
      </w:pPr>
    </w:p>
    <w:p w14:paraId="4A4E4B0D">
      <w:pPr>
        <w:rPr>
          <w:rFonts w:hint="eastAsia" w:ascii="仿宋" w:hAnsi="仿宋" w:eastAsia="仿宋" w:cs="仿宋"/>
          <w:b/>
          <w:bCs/>
          <w:sz w:val="32"/>
          <w:szCs w:val="32"/>
        </w:rPr>
      </w:pPr>
    </w:p>
    <w:p w14:paraId="30EB579A">
      <w:pPr>
        <w:rPr>
          <w:rFonts w:hint="eastAsia" w:ascii="仿宋" w:hAnsi="仿宋" w:eastAsia="仿宋" w:cs="仿宋"/>
          <w:b/>
          <w:bCs/>
          <w:sz w:val="32"/>
          <w:szCs w:val="32"/>
        </w:rPr>
      </w:pPr>
    </w:p>
    <w:p w14:paraId="1D316C9E">
      <w:pPr>
        <w:rPr>
          <w:rFonts w:hint="eastAsia" w:ascii="仿宋" w:hAnsi="仿宋" w:eastAsia="仿宋" w:cs="仿宋"/>
          <w:b/>
          <w:bCs/>
          <w:sz w:val="32"/>
          <w:szCs w:val="32"/>
        </w:rPr>
      </w:pPr>
    </w:p>
    <w:p w14:paraId="58A0B966">
      <w:pPr>
        <w:rPr>
          <w:rFonts w:hint="eastAsia" w:ascii="仿宋" w:hAnsi="仿宋" w:eastAsia="仿宋" w:cs="仿宋"/>
          <w:b/>
          <w:bCs/>
          <w:sz w:val="32"/>
          <w:szCs w:val="32"/>
        </w:rPr>
      </w:pPr>
    </w:p>
    <w:p w14:paraId="42CA1754">
      <w:pPr>
        <w:rPr>
          <w:rFonts w:hint="eastAsia" w:ascii="仿宋" w:hAnsi="仿宋" w:eastAsia="仿宋" w:cs="仿宋"/>
          <w:b/>
          <w:bCs/>
          <w:sz w:val="32"/>
          <w:szCs w:val="32"/>
        </w:rPr>
      </w:pPr>
    </w:p>
    <w:p w14:paraId="18C83DE3">
      <w:pPr>
        <w:rPr>
          <w:rFonts w:hint="eastAsia" w:ascii="仿宋" w:hAnsi="仿宋" w:eastAsia="仿宋" w:cs="仿宋"/>
          <w:b/>
          <w:bCs/>
          <w:sz w:val="32"/>
          <w:szCs w:val="32"/>
        </w:rPr>
      </w:pPr>
    </w:p>
    <w:p w14:paraId="1593A465">
      <w:pPr>
        <w:rPr>
          <w:rFonts w:hint="eastAsia" w:ascii="仿宋" w:hAnsi="仿宋" w:eastAsia="仿宋" w:cs="仿宋"/>
          <w:b/>
          <w:bCs/>
          <w:sz w:val="32"/>
          <w:szCs w:val="32"/>
        </w:rPr>
      </w:pPr>
    </w:p>
    <w:bookmarkEnd w:id="159"/>
    <w:bookmarkEnd w:id="160"/>
    <w:bookmarkEnd w:id="161"/>
    <w:bookmarkEnd w:id="162"/>
    <w:bookmarkEnd w:id="163"/>
    <w:p w14:paraId="309492F6">
      <w:pPr>
        <w:pStyle w:val="2"/>
        <w:spacing w:line="390" w:lineRule="exact"/>
        <w:jc w:val="center"/>
        <w:rPr>
          <w:rFonts w:hint="eastAsia" w:ascii="黑体" w:hAnsi="黑体" w:eastAsia="黑体" w:cs="黑体"/>
          <w:b/>
          <w:color w:val="auto"/>
          <w:sz w:val="32"/>
          <w:szCs w:val="32"/>
        </w:rPr>
      </w:pPr>
      <w:bookmarkStart w:id="168" w:name="_Toc51227593"/>
      <w:bookmarkStart w:id="169" w:name="_Toc487466040"/>
      <w:bookmarkStart w:id="170" w:name="_Toc57624452"/>
      <w:bookmarkStart w:id="171" w:name="_Toc487465897"/>
    </w:p>
    <w:p w14:paraId="456ABE28">
      <w:pPr>
        <w:pStyle w:val="2"/>
        <w:spacing w:line="390" w:lineRule="exact"/>
        <w:jc w:val="both"/>
        <w:rPr>
          <w:rFonts w:hint="eastAsia" w:ascii="黑体" w:hAnsi="黑体" w:eastAsia="黑体" w:cs="黑体"/>
          <w:b/>
          <w:color w:val="auto"/>
          <w:sz w:val="32"/>
          <w:szCs w:val="32"/>
        </w:rPr>
      </w:pPr>
    </w:p>
    <w:p w14:paraId="3D671C13">
      <w:pPr>
        <w:rPr>
          <w:rFonts w:hint="eastAsia" w:ascii="黑体" w:hAnsi="黑体" w:eastAsia="黑体" w:cs="黑体"/>
          <w:b/>
          <w:color w:val="auto"/>
          <w:sz w:val="32"/>
          <w:szCs w:val="32"/>
        </w:rPr>
      </w:pPr>
    </w:p>
    <w:p w14:paraId="2AB23CC1">
      <w:pPr>
        <w:rPr>
          <w:rFonts w:hint="eastAsia" w:ascii="黑体" w:hAnsi="黑体" w:eastAsia="黑体" w:cs="黑体"/>
          <w:b/>
          <w:color w:val="auto"/>
          <w:sz w:val="32"/>
          <w:szCs w:val="32"/>
        </w:rPr>
      </w:pPr>
    </w:p>
    <w:p w14:paraId="7F7DE902">
      <w:pPr>
        <w:rPr>
          <w:rFonts w:hint="eastAsia" w:ascii="黑体" w:hAnsi="黑体" w:eastAsia="黑体" w:cs="黑体"/>
          <w:b/>
          <w:color w:val="auto"/>
          <w:sz w:val="32"/>
          <w:szCs w:val="32"/>
        </w:rPr>
      </w:pPr>
    </w:p>
    <w:p w14:paraId="5CCB735F">
      <w:pPr>
        <w:rPr>
          <w:rFonts w:hint="eastAsia" w:ascii="黑体" w:hAnsi="黑体" w:eastAsia="黑体" w:cs="黑体"/>
          <w:b/>
          <w:color w:val="auto"/>
          <w:sz w:val="32"/>
          <w:szCs w:val="32"/>
        </w:rPr>
      </w:pPr>
    </w:p>
    <w:p w14:paraId="7258C504">
      <w:pPr>
        <w:rPr>
          <w:rFonts w:hint="eastAsia" w:ascii="黑体" w:hAnsi="黑体" w:eastAsia="黑体" w:cs="黑体"/>
          <w:b/>
          <w:color w:val="auto"/>
          <w:sz w:val="32"/>
          <w:szCs w:val="32"/>
        </w:rPr>
      </w:pPr>
    </w:p>
    <w:p w14:paraId="11055E94">
      <w:pPr>
        <w:pStyle w:val="2"/>
        <w:spacing w:line="390" w:lineRule="exact"/>
        <w:jc w:val="center"/>
        <w:rPr>
          <w:rFonts w:hint="eastAsia" w:ascii="黑体" w:hAnsi="黑体" w:eastAsia="黑体" w:cs="黑体"/>
          <w:snapToGrid w:val="0"/>
          <w:color w:val="auto"/>
          <w:kern w:val="32"/>
          <w:sz w:val="32"/>
          <w:szCs w:val="32"/>
        </w:rPr>
      </w:pPr>
      <w:r>
        <w:rPr>
          <w:rFonts w:hint="eastAsia" w:ascii="黑体" w:hAnsi="黑体" w:eastAsia="黑体" w:cs="黑体"/>
          <w:b/>
          <w:color w:val="auto"/>
          <w:sz w:val="32"/>
          <w:szCs w:val="32"/>
        </w:rPr>
        <w:t xml:space="preserve">第六篇  </w:t>
      </w:r>
      <w:bookmarkEnd w:id="168"/>
      <w:bookmarkEnd w:id="169"/>
      <w:bookmarkEnd w:id="170"/>
      <w:bookmarkEnd w:id="171"/>
      <w:r>
        <w:rPr>
          <w:rFonts w:hint="eastAsia" w:ascii="黑体" w:hAnsi="黑体" w:eastAsia="黑体" w:cs="黑体"/>
          <w:b/>
          <w:color w:val="auto"/>
          <w:sz w:val="32"/>
          <w:szCs w:val="32"/>
        </w:rPr>
        <w:t>采购合同</w:t>
      </w:r>
      <w:bookmarkStart w:id="172" w:name="_Toc476821520"/>
      <w:bookmarkStart w:id="173" w:name="_Toc483644795"/>
    </w:p>
    <w:bookmarkEnd w:id="172"/>
    <w:bookmarkEnd w:id="173"/>
    <w:p w14:paraId="2E711B40">
      <w:pPr>
        <w:spacing w:line="500" w:lineRule="exact"/>
        <w:jc w:val="center"/>
        <w:rPr>
          <w:rFonts w:hint="eastAsia" w:ascii="黑体" w:hAnsi="黑体" w:eastAsia="黑体" w:cs="黑体"/>
          <w:b/>
          <w:color w:val="auto"/>
          <w:sz w:val="24"/>
          <w:szCs w:val="24"/>
        </w:rPr>
      </w:pPr>
    </w:p>
    <w:p w14:paraId="4842045D">
      <w:pPr>
        <w:spacing w:line="500" w:lineRule="exact"/>
        <w:jc w:val="center"/>
        <w:rPr>
          <w:rFonts w:hint="eastAsia" w:ascii="黑体" w:hAnsi="黑体" w:eastAsia="黑体" w:cs="黑体"/>
          <w:b/>
          <w:color w:val="auto"/>
          <w:sz w:val="24"/>
          <w:szCs w:val="24"/>
        </w:rPr>
      </w:pPr>
      <w:r>
        <w:rPr>
          <w:rFonts w:hint="eastAsia" w:ascii="黑体" w:hAnsi="黑体" w:eastAsia="黑体" w:cs="黑体"/>
          <w:b/>
          <w:color w:val="auto"/>
          <w:sz w:val="24"/>
          <w:szCs w:val="24"/>
        </w:rPr>
        <w:t>采购合同</w:t>
      </w:r>
    </w:p>
    <w:p w14:paraId="72519E59">
      <w:pPr>
        <w:spacing w:line="5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（项目编号：     ）</w:t>
      </w:r>
    </w:p>
    <w:p w14:paraId="35C4420E">
      <w:pPr>
        <w:spacing w:line="500" w:lineRule="exact"/>
        <w:rPr>
          <w:rFonts w:hint="eastAsia" w:ascii="黑体" w:hAnsi="黑体" w:eastAsia="黑体" w:cs="黑体"/>
          <w:color w:val="auto"/>
          <w:sz w:val="24"/>
          <w:szCs w:val="24"/>
        </w:rPr>
      </w:pPr>
      <w:r>
        <w:rPr>
          <w:rFonts w:hint="eastAsia" w:ascii="黑体" w:hAnsi="黑体" w:eastAsia="黑体" w:cs="黑体"/>
          <w:color w:val="auto"/>
          <w:sz w:val="24"/>
          <w:szCs w:val="24"/>
        </w:rPr>
        <w:t>甲方（需方）：___________________________      计价单位：____________</w:t>
      </w:r>
    </w:p>
    <w:p w14:paraId="524DB7D6">
      <w:pPr>
        <w:spacing w:line="500" w:lineRule="exact"/>
        <w:rPr>
          <w:rFonts w:hint="eastAsia" w:ascii="仿宋" w:eastAsia="仿宋" w:cs="仿宋"/>
          <w:color w:val="auto"/>
          <w:sz w:val="24"/>
          <w:szCs w:val="24"/>
        </w:rPr>
      </w:pPr>
      <w:r>
        <w:rPr>
          <w:rFonts w:hint="eastAsia" w:ascii="黑体" w:hAnsi="黑体" w:eastAsia="黑体" w:cs="黑体"/>
          <w:color w:val="auto"/>
          <w:sz w:val="24"/>
          <w:szCs w:val="24"/>
        </w:rPr>
        <w:t>乙方（供方）：___________________________      计量单位：_____________</w:t>
      </w:r>
    </w:p>
    <w:p w14:paraId="7498B4E7">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hAnsi="黑体" w:eastAsia="黑体" w:cs="黑体"/>
          <w:color w:val="auto"/>
          <w:sz w:val="24"/>
          <w:szCs w:val="24"/>
        </w:rPr>
      </w:pPr>
    </w:p>
    <w:p w14:paraId="1D1C7DE8">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经双方协商一致，达成以下购销合同：</w:t>
      </w:r>
    </w:p>
    <w:tbl>
      <w:tblPr>
        <w:tblStyle w:val="59"/>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2F31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6AEC8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项目名称</w:t>
            </w:r>
          </w:p>
        </w:tc>
        <w:tc>
          <w:tcPr>
            <w:tcW w:w="984" w:type="dxa"/>
            <w:vAlign w:val="center"/>
          </w:tcPr>
          <w:p w14:paraId="104F5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数量</w:t>
            </w:r>
          </w:p>
        </w:tc>
        <w:tc>
          <w:tcPr>
            <w:tcW w:w="1298" w:type="dxa"/>
            <w:gridSpan w:val="2"/>
            <w:vAlign w:val="center"/>
          </w:tcPr>
          <w:p w14:paraId="14A05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综合单价</w:t>
            </w:r>
          </w:p>
        </w:tc>
        <w:tc>
          <w:tcPr>
            <w:tcW w:w="1134" w:type="dxa"/>
            <w:vAlign w:val="center"/>
          </w:tcPr>
          <w:p w14:paraId="59C23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总价</w:t>
            </w:r>
          </w:p>
        </w:tc>
        <w:tc>
          <w:tcPr>
            <w:tcW w:w="1559" w:type="dxa"/>
            <w:vAlign w:val="center"/>
          </w:tcPr>
          <w:p w14:paraId="1463D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服务时间</w:t>
            </w:r>
          </w:p>
        </w:tc>
        <w:tc>
          <w:tcPr>
            <w:tcW w:w="1567" w:type="dxa"/>
            <w:vAlign w:val="center"/>
          </w:tcPr>
          <w:p w14:paraId="586BC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服务地点</w:t>
            </w:r>
          </w:p>
        </w:tc>
      </w:tr>
      <w:tr w14:paraId="38E2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1439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984" w:type="dxa"/>
            <w:vAlign w:val="center"/>
          </w:tcPr>
          <w:p w14:paraId="4CB8F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298" w:type="dxa"/>
            <w:gridSpan w:val="2"/>
            <w:vAlign w:val="center"/>
          </w:tcPr>
          <w:p w14:paraId="6BD8A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134" w:type="dxa"/>
            <w:vAlign w:val="center"/>
          </w:tcPr>
          <w:p w14:paraId="572E4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559" w:type="dxa"/>
            <w:vAlign w:val="center"/>
          </w:tcPr>
          <w:p w14:paraId="32B29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567" w:type="dxa"/>
            <w:vAlign w:val="center"/>
          </w:tcPr>
          <w:p w14:paraId="2F7B7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r>
      <w:tr w14:paraId="39AE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C5653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984" w:type="dxa"/>
            <w:vAlign w:val="center"/>
          </w:tcPr>
          <w:p w14:paraId="21C6C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298" w:type="dxa"/>
            <w:gridSpan w:val="2"/>
            <w:vAlign w:val="center"/>
          </w:tcPr>
          <w:p w14:paraId="1979B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134" w:type="dxa"/>
            <w:vAlign w:val="center"/>
          </w:tcPr>
          <w:p w14:paraId="6716F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559" w:type="dxa"/>
            <w:vAlign w:val="center"/>
          </w:tcPr>
          <w:p w14:paraId="564DC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c>
          <w:tcPr>
            <w:tcW w:w="1567" w:type="dxa"/>
            <w:vAlign w:val="center"/>
          </w:tcPr>
          <w:p w14:paraId="179BC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黑体" w:hAnsi="黑体" w:eastAsia="黑体" w:cs="黑体"/>
                <w:color w:val="auto"/>
                <w:sz w:val="21"/>
                <w:szCs w:val="21"/>
              </w:rPr>
            </w:pPr>
          </w:p>
        </w:tc>
      </w:tr>
      <w:tr w14:paraId="46A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F4AE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合计人民币（小写）：</w:t>
            </w:r>
          </w:p>
        </w:tc>
      </w:tr>
      <w:tr w14:paraId="53FE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ECAF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合计人民币（大写）：</w:t>
            </w:r>
          </w:p>
        </w:tc>
      </w:tr>
      <w:tr w14:paraId="025E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31" w:hRule="atLeast"/>
        </w:trPr>
        <w:tc>
          <w:tcPr>
            <w:tcW w:w="9613" w:type="dxa"/>
            <w:gridSpan w:val="7"/>
          </w:tcPr>
          <w:p w14:paraId="530CE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一、服务要求</w:t>
            </w:r>
          </w:p>
        </w:tc>
      </w:tr>
      <w:tr w14:paraId="36BC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628" w:type="dxa"/>
            <w:gridSpan w:val="8"/>
          </w:tcPr>
          <w:p w14:paraId="63408F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二、考核方式</w:t>
            </w:r>
          </w:p>
        </w:tc>
      </w:tr>
      <w:tr w14:paraId="48B1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73A2D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三、付款方式：</w:t>
            </w:r>
          </w:p>
          <w:p w14:paraId="4A4FC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p>
        </w:tc>
      </w:tr>
      <w:tr w14:paraId="63C1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3FB44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X、履约保证金：</w:t>
            </w:r>
          </w:p>
        </w:tc>
      </w:tr>
      <w:tr w14:paraId="3BC0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C207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四、违约责任：</w:t>
            </w:r>
          </w:p>
          <w:p w14:paraId="6CDA2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按《中华人民共和国民法典》、《中华人民共和国政府采购法》执行，或按双方约定。</w:t>
            </w:r>
          </w:p>
        </w:tc>
      </w:tr>
      <w:tr w14:paraId="2BB0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299D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五、其他约定事项：</w:t>
            </w:r>
          </w:p>
          <w:p w14:paraId="5E07D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1.采购文件及其澄清文件、响应文件和承诺是本合同不可分割的部分。</w:t>
            </w:r>
          </w:p>
          <w:p w14:paraId="311EB2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2.本合同如发生争议由双方协商解决，协商不成向需方所在人民法院提请诉讼。</w:t>
            </w:r>
          </w:p>
          <w:p w14:paraId="02ADB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3.本合同一式__份， 需方__份，供方__份，具同等法律效力。</w:t>
            </w:r>
          </w:p>
          <w:p w14:paraId="60EA5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4.其他：</w:t>
            </w:r>
          </w:p>
        </w:tc>
      </w:tr>
      <w:tr w14:paraId="135E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C9E6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需方：</w:t>
            </w:r>
          </w:p>
          <w:p w14:paraId="12B4E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地址：</w:t>
            </w:r>
          </w:p>
          <w:p w14:paraId="7D525D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联系电话：</w:t>
            </w:r>
          </w:p>
          <w:p w14:paraId="5663C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授权代表：</w:t>
            </w:r>
          </w:p>
        </w:tc>
        <w:tc>
          <w:tcPr>
            <w:tcW w:w="4984" w:type="dxa"/>
            <w:gridSpan w:val="5"/>
          </w:tcPr>
          <w:p w14:paraId="37483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供方：</w:t>
            </w:r>
          </w:p>
          <w:p w14:paraId="17C2D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地址：</w:t>
            </w:r>
          </w:p>
          <w:p w14:paraId="0CFF9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电话：</w:t>
            </w:r>
          </w:p>
          <w:p w14:paraId="3C6D5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传真：</w:t>
            </w:r>
          </w:p>
          <w:p w14:paraId="5A141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开户银行：</w:t>
            </w:r>
          </w:p>
          <w:p w14:paraId="2DAC4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账号：</w:t>
            </w:r>
          </w:p>
          <w:p w14:paraId="7225E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授权代表：</w:t>
            </w:r>
          </w:p>
          <w:p w14:paraId="42005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（本栏请用计算机打印以便于准确付款）</w:t>
            </w:r>
          </w:p>
        </w:tc>
      </w:tr>
      <w:tr w14:paraId="13C1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628" w:type="dxa"/>
            <w:gridSpan w:val="8"/>
          </w:tcPr>
          <w:p w14:paraId="6B5D6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备注：</w:t>
            </w:r>
          </w:p>
          <w:p w14:paraId="4D0C78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p>
          <w:p w14:paraId="354ADD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黑体" w:hAnsi="黑体" w:eastAsia="黑体" w:cs="黑体"/>
                <w:color w:val="auto"/>
                <w:sz w:val="21"/>
                <w:szCs w:val="21"/>
              </w:rPr>
            </w:pPr>
          </w:p>
        </w:tc>
      </w:tr>
    </w:tbl>
    <w:p w14:paraId="2F58F0AC">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hAnsi="黑体" w:eastAsia="黑体" w:cs="黑体"/>
          <w:color w:val="auto"/>
          <w:sz w:val="21"/>
          <w:szCs w:val="21"/>
        </w:rPr>
        <w:sectPr>
          <w:footerReference r:id="rId15" w:type="default"/>
          <w:footerReference r:id="rId16" w:type="even"/>
          <w:pgSz w:w="11907" w:h="16840"/>
          <w:pgMar w:top="1134" w:right="1191" w:bottom="1134" w:left="1304" w:header="454" w:footer="992" w:gutter="0"/>
          <w:pgNumType w:fmt="numberInDash"/>
          <w:cols w:space="720" w:num="1"/>
          <w:docGrid w:linePitch="312" w:charSpace="0"/>
        </w:sectPr>
      </w:pPr>
      <w:r>
        <w:rPr>
          <w:rFonts w:hint="eastAsia" w:ascii="黑体" w:hAnsi="黑体" w:eastAsia="黑体" w:cs="黑体"/>
          <w:color w:val="auto"/>
          <w:sz w:val="21"/>
          <w:szCs w:val="21"/>
        </w:rPr>
        <w:t>签约时间：           年   月   日      签约地点：</w:t>
      </w:r>
    </w:p>
    <w:p w14:paraId="6495E617">
      <w:pPr>
        <w:pStyle w:val="2"/>
        <w:jc w:val="both"/>
        <w:rPr>
          <w:rFonts w:hint="eastAsia" w:ascii="仿宋" w:hAnsi="仿宋" w:eastAsia="仿宋" w:cs="仿宋"/>
          <w:b/>
          <w:bCs/>
          <w:sz w:val="36"/>
          <w:szCs w:val="36"/>
        </w:rPr>
      </w:pPr>
    </w:p>
    <w:p w14:paraId="2B3D3457">
      <w:pPr>
        <w:pStyle w:val="2"/>
        <w:jc w:val="center"/>
        <w:rPr>
          <w:rFonts w:hint="eastAsia" w:ascii="黑体" w:hAnsi="黑体" w:eastAsia="黑体" w:cs="黑体"/>
          <w:b/>
          <w:bCs/>
          <w:sz w:val="32"/>
          <w:szCs w:val="32"/>
        </w:rPr>
      </w:pPr>
      <w:r>
        <w:rPr>
          <w:rFonts w:hint="eastAsia" w:ascii="黑体" w:hAnsi="黑体" w:eastAsia="黑体" w:cs="黑体"/>
          <w:b/>
          <w:bCs/>
          <w:sz w:val="32"/>
          <w:szCs w:val="32"/>
        </w:rPr>
        <w:t>第七篇  响应文件</w:t>
      </w:r>
      <w:r>
        <w:rPr>
          <w:rFonts w:hint="eastAsia" w:ascii="黑体" w:hAnsi="黑体" w:eastAsia="黑体" w:cs="黑体"/>
          <w:b/>
          <w:bCs/>
          <w:sz w:val="32"/>
          <w:szCs w:val="32"/>
          <w:lang w:val="en-US" w:eastAsia="zh-CN"/>
        </w:rPr>
        <w:t>编制</w:t>
      </w:r>
      <w:r>
        <w:rPr>
          <w:rFonts w:hint="eastAsia" w:ascii="黑体" w:hAnsi="黑体" w:eastAsia="黑体" w:cs="黑体"/>
          <w:b/>
          <w:bCs/>
          <w:sz w:val="32"/>
          <w:szCs w:val="32"/>
        </w:rPr>
        <w:t>要求</w:t>
      </w:r>
      <w:bookmarkEnd w:id="164"/>
      <w:bookmarkEnd w:id="165"/>
      <w:bookmarkEnd w:id="166"/>
    </w:p>
    <w:p w14:paraId="0B8374C6">
      <w:pPr>
        <w:spacing w:line="400" w:lineRule="exact"/>
        <w:rPr>
          <w:rFonts w:hint="eastAsia" w:ascii="黑体" w:hAnsi="黑体" w:eastAsia="黑体" w:cs="黑体"/>
          <w:sz w:val="24"/>
          <w:szCs w:val="24"/>
        </w:rPr>
      </w:pPr>
      <w:bookmarkStart w:id="174" w:name="_Toc30977"/>
    </w:p>
    <w:bookmarkEnd w:id="174"/>
    <w:p w14:paraId="4AD3961E">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一、经济部分</w:t>
      </w:r>
    </w:p>
    <w:p w14:paraId="778333A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（一）报价函</w:t>
      </w:r>
    </w:p>
    <w:p w14:paraId="3DE26BA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（二）明细报价表</w:t>
      </w:r>
    </w:p>
    <w:p w14:paraId="7EA69692">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二、</w:t>
      </w:r>
      <w:r>
        <w:rPr>
          <w:rFonts w:hint="eastAsia" w:ascii="黑体" w:hAnsi="黑体" w:eastAsia="黑体" w:cs="黑体"/>
          <w:b/>
          <w:sz w:val="24"/>
          <w:szCs w:val="24"/>
          <w:lang w:eastAsia="zh-CN"/>
        </w:rPr>
        <w:t>服务</w:t>
      </w:r>
      <w:r>
        <w:rPr>
          <w:rFonts w:hint="eastAsia" w:ascii="黑体" w:hAnsi="黑体" w:eastAsia="黑体" w:cs="黑体"/>
          <w:b/>
          <w:sz w:val="24"/>
          <w:szCs w:val="24"/>
        </w:rPr>
        <w:t>部分</w:t>
      </w:r>
    </w:p>
    <w:p w14:paraId="2FD3346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服务</w:t>
      </w:r>
      <w:r>
        <w:rPr>
          <w:rFonts w:hint="eastAsia" w:ascii="黑体" w:hAnsi="黑体" w:eastAsia="黑体" w:cs="黑体"/>
          <w:sz w:val="24"/>
          <w:szCs w:val="24"/>
        </w:rPr>
        <w:t>响应偏离表</w:t>
      </w:r>
    </w:p>
    <w:p w14:paraId="37D7EA49">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（二）其他资料（格式自定）</w:t>
      </w:r>
    </w:p>
    <w:p w14:paraId="7CA7C849">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三、</w:t>
      </w:r>
      <w:r>
        <w:rPr>
          <w:rFonts w:hint="eastAsia" w:ascii="黑体" w:hAnsi="黑体" w:eastAsia="黑体" w:cs="黑体"/>
          <w:b/>
          <w:sz w:val="24"/>
          <w:szCs w:val="24"/>
          <w:lang w:eastAsia="zh-CN"/>
        </w:rPr>
        <w:t>商务</w:t>
      </w:r>
      <w:r>
        <w:rPr>
          <w:rFonts w:hint="eastAsia" w:ascii="黑体" w:hAnsi="黑体" w:eastAsia="黑体" w:cs="黑体"/>
          <w:b/>
          <w:sz w:val="24"/>
          <w:szCs w:val="24"/>
        </w:rPr>
        <w:t>部分</w:t>
      </w:r>
    </w:p>
    <w:p w14:paraId="43605219">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商</w:t>
      </w:r>
      <w:r>
        <w:rPr>
          <w:rFonts w:hint="eastAsia" w:ascii="黑体" w:hAnsi="黑体" w:eastAsia="黑体" w:cs="黑体"/>
          <w:sz w:val="24"/>
          <w:szCs w:val="24"/>
        </w:rPr>
        <w:t>务响应偏离表</w:t>
      </w:r>
    </w:p>
    <w:p w14:paraId="16045110">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（二）其它</w:t>
      </w:r>
      <w:r>
        <w:rPr>
          <w:rFonts w:hint="eastAsia" w:ascii="黑体" w:hAnsi="黑体" w:eastAsia="黑体" w:cs="黑体"/>
          <w:sz w:val="24"/>
          <w:szCs w:val="24"/>
          <w:lang w:eastAsia="zh-CN"/>
        </w:rPr>
        <w:t>资料</w:t>
      </w:r>
      <w:r>
        <w:rPr>
          <w:rFonts w:hint="eastAsia" w:ascii="黑体" w:hAnsi="黑体" w:eastAsia="黑体" w:cs="黑体"/>
          <w:sz w:val="24"/>
          <w:szCs w:val="24"/>
        </w:rPr>
        <w:t>（格式自定）</w:t>
      </w:r>
    </w:p>
    <w:p w14:paraId="6C527BB3">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四、资格条件及其他</w:t>
      </w:r>
    </w:p>
    <w:p w14:paraId="19FD51B3">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（一）法人营业执照（副本）或事业单位法人证书（副本）或个体工商户营业执照或有效的自然人身份证明或社会团体法人登记证书</w:t>
      </w:r>
    </w:p>
    <w:p w14:paraId="520076D4">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（二）法定代表人身份证明书（格式）</w:t>
      </w:r>
    </w:p>
    <w:p w14:paraId="0F947F8C">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（三）法定代表人授权委托书（格式）</w:t>
      </w:r>
    </w:p>
    <w:p w14:paraId="101D727E">
      <w:pPr>
        <w:keepNext w:val="0"/>
        <w:keepLines w:val="0"/>
        <w:pageBreakBefore w:val="0"/>
        <w:widowControl/>
        <w:kinsoku/>
        <w:wordWrap/>
        <w:overflowPunct/>
        <w:topLinePunct w:val="0"/>
        <w:autoSpaceDE/>
        <w:autoSpaceDN/>
        <w:bidi w:val="0"/>
        <w:adjustRightInd/>
        <w:spacing w:line="440" w:lineRule="exact"/>
        <w:ind w:firstLine="480" w:firstLineChars="200"/>
        <w:jc w:val="both"/>
        <w:textAlignment w:val="auto"/>
        <w:rPr>
          <w:rFonts w:hint="eastAsia" w:ascii="黑体" w:hAnsi="黑体" w:eastAsia="黑体" w:cs="黑体"/>
          <w:sz w:val="24"/>
          <w:szCs w:val="24"/>
          <w:lang w:eastAsia="zh-CN"/>
        </w:rPr>
      </w:pPr>
      <w:r>
        <w:rPr>
          <w:rFonts w:hint="eastAsia" w:ascii="黑体" w:hAnsi="黑体" w:eastAsia="黑体" w:cs="黑体"/>
          <w:sz w:val="24"/>
          <w:szCs w:val="24"/>
        </w:rPr>
        <w:t>（四）基本资格条件承诺函（格式）</w:t>
      </w:r>
    </w:p>
    <w:p w14:paraId="3C82B13D">
      <w:pPr>
        <w:keepNext w:val="0"/>
        <w:keepLines w:val="0"/>
        <w:pageBreakBefore w:val="0"/>
        <w:widowControl/>
        <w:kinsoku/>
        <w:wordWrap/>
        <w:overflowPunct/>
        <w:topLinePunct w:val="0"/>
        <w:autoSpaceDE/>
        <w:autoSpaceDN/>
        <w:bidi w:val="0"/>
        <w:adjustRightInd/>
        <w:spacing w:line="440"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五）</w:t>
      </w:r>
      <w:r>
        <w:rPr>
          <w:rFonts w:hint="eastAsia" w:ascii="黑体" w:hAnsi="黑体" w:eastAsia="黑体" w:cs="黑体"/>
          <w:sz w:val="24"/>
          <w:szCs w:val="28"/>
        </w:rPr>
        <w:t>特定资格条件证书或证明文件</w:t>
      </w:r>
    </w:p>
    <w:p w14:paraId="28C2B42B">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黑体" w:hAnsi="黑体" w:eastAsia="黑体" w:cs="黑体"/>
          <w:b/>
          <w:sz w:val="24"/>
          <w:szCs w:val="24"/>
        </w:rPr>
      </w:pPr>
      <w:r>
        <w:rPr>
          <w:rFonts w:hint="eastAsia" w:ascii="黑体" w:hAnsi="黑体" w:eastAsia="黑体" w:cs="黑体"/>
          <w:b/>
          <w:sz w:val="24"/>
          <w:szCs w:val="24"/>
        </w:rPr>
        <w:t>五、其他资料</w:t>
      </w:r>
    </w:p>
    <w:p w14:paraId="27A26864">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b/>
          <w:sz w:val="24"/>
          <w:szCs w:val="24"/>
        </w:rPr>
      </w:pPr>
      <w:r>
        <w:rPr>
          <w:rFonts w:hint="eastAsia" w:ascii="黑体" w:hAnsi="黑体" w:eastAsia="黑体" w:cs="黑体"/>
          <w:sz w:val="24"/>
          <w:szCs w:val="24"/>
        </w:rPr>
        <w:t>（一）中小企业声明函、监狱企业证明文件、残疾人福利性单位声明函</w:t>
      </w:r>
    </w:p>
    <w:p w14:paraId="3CF07326">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eastAsia="zh-CN"/>
        </w:rPr>
        <w:t>二</w:t>
      </w:r>
      <w:r>
        <w:rPr>
          <w:rFonts w:hint="eastAsia" w:ascii="黑体" w:hAnsi="黑体" w:eastAsia="黑体" w:cs="黑体"/>
          <w:sz w:val="24"/>
          <w:szCs w:val="24"/>
        </w:rPr>
        <w:t>）其他与项目有关的资料（自附）</w:t>
      </w:r>
    </w:p>
    <w:p w14:paraId="340687A0">
      <w:pPr>
        <w:keepNext w:val="0"/>
        <w:keepLines w:val="0"/>
        <w:pageBreakBefore w:val="0"/>
        <w:kinsoku/>
        <w:wordWrap/>
        <w:overflowPunct/>
        <w:topLinePunct w:val="0"/>
        <w:autoSpaceDE/>
        <w:autoSpaceDN/>
        <w:bidi w:val="0"/>
        <w:adjustRightInd/>
        <w:snapToGrid w:val="0"/>
        <w:spacing w:line="440" w:lineRule="exact"/>
        <w:textAlignment w:val="auto"/>
        <w:rPr>
          <w:rFonts w:hint="eastAsia" w:ascii="黑体" w:hAnsi="黑体" w:eastAsia="黑体" w:cs="黑体"/>
          <w:sz w:val="24"/>
          <w:szCs w:val="24"/>
          <w:bdr w:val="single" w:color="auto" w:sz="4" w:space="0"/>
        </w:rPr>
        <w:sectPr>
          <w:footerReference r:id="rId17" w:type="default"/>
          <w:pgSz w:w="11907" w:h="16840"/>
          <w:pgMar w:top="1134" w:right="1191" w:bottom="1134" w:left="1304" w:header="454" w:footer="992" w:gutter="0"/>
          <w:pgNumType w:fmt="numberInDash"/>
          <w:cols w:space="720" w:num="1"/>
          <w:docGrid w:linePitch="380" w:charSpace="-5735"/>
        </w:sectPr>
      </w:pPr>
    </w:p>
    <w:p w14:paraId="44DAFF26">
      <w:pPr>
        <w:pStyle w:val="3"/>
        <w:adjustRightInd w:val="0"/>
        <w:snapToGrid w:val="0"/>
        <w:spacing w:before="0" w:after="0" w:line="400" w:lineRule="exact"/>
        <w:ind w:firstLine="482" w:firstLineChars="200"/>
        <w:rPr>
          <w:rFonts w:hint="eastAsia" w:ascii="黑体" w:hAnsi="黑体" w:eastAsia="黑体" w:cs="黑体"/>
          <w:sz w:val="24"/>
          <w:szCs w:val="24"/>
        </w:rPr>
      </w:pPr>
      <w:bookmarkStart w:id="175" w:name="_Toc342913419"/>
      <w:bookmarkStart w:id="176" w:name="_Toc65660379"/>
      <w:bookmarkStart w:id="177" w:name="_Toc26343"/>
      <w:bookmarkStart w:id="178" w:name="_Toc313888360"/>
      <w:bookmarkStart w:id="179" w:name="_Toc106034808"/>
      <w:bookmarkStart w:id="180" w:name="_Toc30982"/>
      <w:bookmarkStart w:id="181" w:name="_Toc14244"/>
      <w:bookmarkStart w:id="182" w:name="_Toc313008356"/>
      <w:bookmarkStart w:id="183" w:name="_Toc283382454"/>
      <w:bookmarkStart w:id="184" w:name="_Toc12789073"/>
      <w:r>
        <w:rPr>
          <w:rFonts w:hint="eastAsia" w:ascii="黑体" w:hAnsi="黑体" w:eastAsia="黑体" w:cs="黑体"/>
          <w:sz w:val="24"/>
          <w:szCs w:val="24"/>
        </w:rPr>
        <w:t>一、经济部分</w:t>
      </w:r>
      <w:bookmarkEnd w:id="175"/>
      <w:bookmarkEnd w:id="176"/>
      <w:bookmarkEnd w:id="177"/>
      <w:bookmarkEnd w:id="178"/>
      <w:bookmarkEnd w:id="179"/>
      <w:bookmarkEnd w:id="180"/>
      <w:bookmarkEnd w:id="181"/>
      <w:bookmarkEnd w:id="182"/>
    </w:p>
    <w:bookmarkEnd w:id="183"/>
    <w:bookmarkEnd w:id="184"/>
    <w:p w14:paraId="007A8FB3">
      <w:pPr>
        <w:spacing w:line="400" w:lineRule="exact"/>
        <w:ind w:firstLine="480" w:firstLineChars="200"/>
        <w:rPr>
          <w:rFonts w:hint="eastAsia" w:ascii="黑体" w:hAnsi="黑体" w:eastAsia="黑体" w:cs="黑体"/>
          <w:sz w:val="24"/>
          <w:szCs w:val="24"/>
        </w:rPr>
      </w:pPr>
    </w:p>
    <w:p w14:paraId="000CA35E">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（一）报价函</w:t>
      </w:r>
    </w:p>
    <w:p w14:paraId="0FB0D86E">
      <w:pPr>
        <w:tabs>
          <w:tab w:val="left" w:pos="6300"/>
        </w:tabs>
        <w:snapToGrid w:val="0"/>
        <w:spacing w:line="312" w:lineRule="auto"/>
        <w:ind w:firstLine="482" w:firstLineChars="200"/>
        <w:jc w:val="center"/>
        <w:rPr>
          <w:rFonts w:hint="eastAsia" w:ascii="黑体" w:hAnsi="黑体" w:eastAsia="黑体" w:cs="黑体"/>
          <w:b/>
          <w:sz w:val="24"/>
          <w:szCs w:val="24"/>
        </w:rPr>
      </w:pPr>
      <w:r>
        <w:rPr>
          <w:rFonts w:hint="eastAsia" w:ascii="黑体" w:hAnsi="黑体" w:eastAsia="黑体" w:cs="黑体"/>
          <w:b/>
          <w:sz w:val="24"/>
          <w:szCs w:val="24"/>
        </w:rPr>
        <w:t>报价函</w:t>
      </w:r>
    </w:p>
    <w:p w14:paraId="3ED4FAD9">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u w:val="single"/>
        </w:rPr>
        <w:t>（采购</w:t>
      </w:r>
      <w:r>
        <w:rPr>
          <w:rFonts w:hint="eastAsia" w:ascii="黑体" w:hAnsi="黑体" w:eastAsia="黑体" w:cs="黑体"/>
          <w:sz w:val="24"/>
          <w:szCs w:val="24"/>
          <w:u w:val="single"/>
          <w:lang w:eastAsia="zh-CN"/>
        </w:rPr>
        <w:t>人</w:t>
      </w:r>
      <w:r>
        <w:rPr>
          <w:rFonts w:hint="eastAsia" w:ascii="黑体" w:hAnsi="黑体" w:eastAsia="黑体" w:cs="黑体"/>
          <w:sz w:val="24"/>
          <w:szCs w:val="24"/>
          <w:u w:val="single"/>
        </w:rPr>
        <w:t>名称）</w:t>
      </w:r>
      <w:r>
        <w:rPr>
          <w:rFonts w:hint="eastAsia" w:ascii="黑体" w:hAnsi="黑体" w:eastAsia="黑体" w:cs="黑体"/>
          <w:sz w:val="24"/>
          <w:szCs w:val="24"/>
        </w:rPr>
        <w:t>：</w:t>
      </w:r>
    </w:p>
    <w:p w14:paraId="53C1A34B">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我方收到____________________________（项目名称）的</w:t>
      </w:r>
      <w:r>
        <w:rPr>
          <w:rFonts w:hint="eastAsia" w:ascii="黑体" w:hAnsi="黑体" w:eastAsia="黑体" w:cs="黑体"/>
          <w:sz w:val="24"/>
          <w:szCs w:val="24"/>
          <w:lang w:eastAsia="zh-CN"/>
        </w:rPr>
        <w:t>询比文件</w:t>
      </w:r>
      <w:r>
        <w:rPr>
          <w:rFonts w:hint="eastAsia" w:ascii="黑体" w:hAnsi="黑体" w:eastAsia="黑体" w:cs="黑体"/>
          <w:sz w:val="24"/>
          <w:szCs w:val="24"/>
        </w:rPr>
        <w:t>，经详细研究，决定参加该</w:t>
      </w:r>
      <w:r>
        <w:rPr>
          <w:rFonts w:hint="eastAsia" w:ascii="黑体" w:hAnsi="黑体" w:eastAsia="黑体" w:cs="黑体"/>
          <w:sz w:val="24"/>
          <w:szCs w:val="24"/>
          <w:lang w:eastAsia="zh-CN"/>
        </w:rPr>
        <w:t>询比</w:t>
      </w:r>
      <w:r>
        <w:rPr>
          <w:rFonts w:hint="eastAsia" w:ascii="黑体" w:hAnsi="黑体" w:eastAsia="黑体" w:cs="黑体"/>
          <w:sz w:val="24"/>
          <w:szCs w:val="24"/>
        </w:rPr>
        <w:t>项目的报价。</w:t>
      </w:r>
    </w:p>
    <w:p w14:paraId="34373659">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1.愿意按照</w:t>
      </w:r>
      <w:r>
        <w:rPr>
          <w:rFonts w:hint="eastAsia" w:ascii="黑体" w:hAnsi="黑体" w:eastAsia="黑体" w:cs="黑体"/>
          <w:sz w:val="24"/>
          <w:szCs w:val="24"/>
          <w:lang w:eastAsia="zh-CN"/>
        </w:rPr>
        <w:t>询比文件</w:t>
      </w:r>
      <w:r>
        <w:rPr>
          <w:rFonts w:hint="eastAsia" w:ascii="黑体" w:hAnsi="黑体" w:eastAsia="黑体" w:cs="黑体"/>
          <w:sz w:val="24"/>
          <w:szCs w:val="24"/>
        </w:rPr>
        <w:t>中的一切要求，提供本项目</w:t>
      </w:r>
      <w:r>
        <w:rPr>
          <w:rFonts w:hint="eastAsia" w:ascii="黑体" w:hAnsi="黑体" w:eastAsia="黑体" w:cs="黑体"/>
          <w:sz w:val="24"/>
          <w:szCs w:val="24"/>
          <w:lang w:eastAsia="zh-CN"/>
        </w:rPr>
        <w:t>的</w:t>
      </w:r>
      <w:r>
        <w:rPr>
          <w:rFonts w:hint="eastAsia" w:ascii="黑体" w:hAnsi="黑体" w:eastAsia="黑体" w:cs="黑体"/>
          <w:sz w:val="24"/>
          <w:szCs w:val="24"/>
        </w:rPr>
        <w:t>服务，</w:t>
      </w:r>
      <w:r>
        <w:rPr>
          <w:rFonts w:hint="eastAsia" w:ascii="黑体" w:hAnsi="黑体" w:eastAsia="黑体" w:cs="黑体"/>
          <w:sz w:val="24"/>
          <w:szCs w:val="24"/>
          <w:lang w:eastAsia="zh-CN"/>
        </w:rPr>
        <w:t>报价</w:t>
      </w:r>
      <w:r>
        <w:rPr>
          <w:rFonts w:hint="eastAsia" w:ascii="黑体" w:hAnsi="黑体" w:eastAsia="黑体" w:cs="黑体"/>
          <w:sz w:val="24"/>
          <w:szCs w:val="24"/>
        </w:rPr>
        <w:t>为人民币大写：</w:t>
      </w:r>
      <w:r>
        <w:rPr>
          <w:rFonts w:hint="eastAsia" w:ascii="黑体" w:hAnsi="黑体" w:eastAsia="黑体" w:cs="黑体"/>
          <w:sz w:val="24"/>
          <w:szCs w:val="24"/>
          <w:u w:val="single"/>
        </w:rPr>
        <w:t xml:space="preserve">      </w:t>
      </w:r>
      <w:r>
        <w:rPr>
          <w:rFonts w:hint="eastAsia" w:ascii="黑体" w:hAnsi="黑体" w:eastAsia="黑体" w:cs="黑体"/>
          <w:sz w:val="24"/>
          <w:szCs w:val="24"/>
        </w:rPr>
        <w:t>元整；人民币小写：</w:t>
      </w:r>
      <w:r>
        <w:rPr>
          <w:rFonts w:hint="eastAsia" w:ascii="黑体" w:hAnsi="黑体" w:eastAsia="黑体" w:cs="黑体"/>
          <w:sz w:val="24"/>
          <w:szCs w:val="24"/>
          <w:u w:val="single"/>
        </w:rPr>
        <w:t xml:space="preserve">    </w:t>
      </w:r>
      <w:r>
        <w:rPr>
          <w:rFonts w:hint="eastAsia" w:ascii="黑体" w:hAnsi="黑体" w:eastAsia="黑体" w:cs="黑体"/>
          <w:sz w:val="24"/>
          <w:szCs w:val="24"/>
        </w:rPr>
        <w:t>元。</w:t>
      </w:r>
    </w:p>
    <w:p w14:paraId="7BE24765">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2.我方现提交的响应文件为：响应文件正本</w:t>
      </w:r>
      <w:r>
        <w:rPr>
          <w:rFonts w:hint="eastAsia" w:ascii="黑体" w:hAnsi="黑体" w:eastAsia="黑体" w:cs="黑体"/>
          <w:sz w:val="24"/>
          <w:szCs w:val="24"/>
          <w:u w:val="single"/>
        </w:rPr>
        <w:t xml:space="preserve">   </w:t>
      </w:r>
      <w:r>
        <w:rPr>
          <w:rFonts w:hint="eastAsia" w:ascii="黑体" w:hAnsi="黑体" w:eastAsia="黑体" w:cs="黑体"/>
          <w:sz w:val="24"/>
          <w:szCs w:val="24"/>
        </w:rPr>
        <w:t>份，副本</w:t>
      </w:r>
      <w:r>
        <w:rPr>
          <w:rFonts w:hint="eastAsia" w:ascii="黑体" w:hAnsi="黑体" w:eastAsia="黑体" w:cs="黑体"/>
          <w:sz w:val="24"/>
          <w:szCs w:val="24"/>
          <w:u w:val="single"/>
        </w:rPr>
        <w:t xml:space="preserve">   </w:t>
      </w:r>
      <w:r>
        <w:rPr>
          <w:rFonts w:hint="eastAsia" w:ascii="黑体" w:hAnsi="黑体" w:eastAsia="黑体" w:cs="黑体"/>
          <w:sz w:val="24"/>
          <w:szCs w:val="24"/>
        </w:rPr>
        <w:t>份，电子文档</w:t>
      </w:r>
      <w:r>
        <w:rPr>
          <w:rFonts w:hint="eastAsia" w:ascii="黑体" w:hAnsi="黑体" w:eastAsia="黑体" w:cs="黑体"/>
          <w:sz w:val="24"/>
          <w:szCs w:val="24"/>
          <w:u w:val="single"/>
        </w:rPr>
        <w:t xml:space="preserve">   </w:t>
      </w:r>
      <w:r>
        <w:rPr>
          <w:rFonts w:hint="eastAsia" w:ascii="黑体" w:hAnsi="黑体" w:eastAsia="黑体" w:cs="黑体"/>
          <w:sz w:val="24"/>
          <w:szCs w:val="24"/>
        </w:rPr>
        <w:t>份。</w:t>
      </w:r>
    </w:p>
    <w:p w14:paraId="0E4C56B1">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3.我方承诺：本次报价的有效期为提交响应文件截止时间起90天。</w:t>
      </w:r>
    </w:p>
    <w:p w14:paraId="4F052051">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4.我方完全理解和接受贵方</w:t>
      </w:r>
      <w:r>
        <w:rPr>
          <w:rFonts w:hint="eastAsia" w:ascii="黑体" w:hAnsi="黑体" w:eastAsia="黑体" w:cs="黑体"/>
          <w:sz w:val="24"/>
          <w:szCs w:val="24"/>
          <w:lang w:eastAsia="zh-CN"/>
        </w:rPr>
        <w:t>询比文件</w:t>
      </w:r>
      <w:r>
        <w:rPr>
          <w:rFonts w:hint="eastAsia" w:ascii="黑体" w:hAnsi="黑体" w:eastAsia="黑体" w:cs="黑体"/>
          <w:sz w:val="24"/>
          <w:szCs w:val="24"/>
        </w:rPr>
        <w:t>的一切规定和要求及评审办法。</w:t>
      </w:r>
    </w:p>
    <w:p w14:paraId="5E3EC42D">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5.在整个</w:t>
      </w:r>
      <w:r>
        <w:rPr>
          <w:rFonts w:hint="eastAsia" w:ascii="黑体" w:hAnsi="黑体" w:eastAsia="黑体" w:cs="黑体"/>
          <w:sz w:val="24"/>
          <w:szCs w:val="24"/>
          <w:lang w:eastAsia="zh-CN"/>
        </w:rPr>
        <w:t>询比</w:t>
      </w:r>
      <w:r>
        <w:rPr>
          <w:rFonts w:hint="eastAsia" w:ascii="黑体" w:hAnsi="黑体" w:eastAsia="黑体" w:cs="黑体"/>
          <w:sz w:val="24"/>
          <w:szCs w:val="24"/>
        </w:rPr>
        <w:t>过程中，我方若有违规行为，接受按照</w:t>
      </w:r>
      <w:r>
        <w:rPr>
          <w:rFonts w:hint="eastAsia" w:ascii="黑体" w:hAnsi="黑体" w:eastAsia="黑体" w:cs="黑体"/>
          <w:sz w:val="24"/>
          <w:szCs w:val="24"/>
          <w:lang w:eastAsia="zh-CN"/>
        </w:rPr>
        <w:t>相关法律法规和询比文件</w:t>
      </w:r>
      <w:r>
        <w:rPr>
          <w:rFonts w:hint="eastAsia" w:ascii="黑体" w:hAnsi="黑体" w:eastAsia="黑体" w:cs="黑体"/>
          <w:sz w:val="24"/>
          <w:szCs w:val="24"/>
        </w:rPr>
        <w:t>之规定给予惩罚。</w:t>
      </w:r>
    </w:p>
    <w:p w14:paraId="6DDD3AA2">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6.我方若成为成交供应商，将按照最终报价结果签订合同，并且严格履行合同义务。本承诺函将成为合同不可分割的一部分，与合同具有同等的法律效力。</w:t>
      </w:r>
    </w:p>
    <w:p w14:paraId="4EB26D87">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7.如果我方成为成交供应商，保证在接到成交通知书后，向采购代理机构缴纳</w:t>
      </w:r>
      <w:r>
        <w:rPr>
          <w:rFonts w:hint="eastAsia" w:ascii="黑体" w:hAnsi="黑体" w:eastAsia="黑体" w:cs="黑体"/>
          <w:sz w:val="24"/>
          <w:szCs w:val="24"/>
          <w:lang w:eastAsia="zh-CN"/>
        </w:rPr>
        <w:t>询比文件</w:t>
      </w:r>
      <w:r>
        <w:rPr>
          <w:rFonts w:hint="eastAsia" w:ascii="黑体" w:hAnsi="黑体" w:eastAsia="黑体" w:cs="黑体"/>
          <w:sz w:val="24"/>
          <w:szCs w:val="24"/>
        </w:rPr>
        <w:t>规定的采购代理服务费。</w:t>
      </w:r>
    </w:p>
    <w:p w14:paraId="52327225">
      <w:pPr>
        <w:tabs>
          <w:tab w:val="left" w:pos="6300"/>
        </w:tabs>
        <w:snapToGrid w:val="0"/>
        <w:spacing w:line="312" w:lineRule="auto"/>
        <w:ind w:firstLine="480" w:firstLineChars="200"/>
        <w:rPr>
          <w:rFonts w:hint="eastAsia" w:ascii="黑体" w:hAnsi="黑体" w:eastAsia="黑体" w:cs="黑体"/>
          <w:sz w:val="24"/>
          <w:szCs w:val="24"/>
        </w:rPr>
      </w:pPr>
      <w:r>
        <w:rPr>
          <w:rFonts w:hint="eastAsia" w:ascii="黑体" w:hAnsi="黑体" w:eastAsia="黑体" w:cs="黑体"/>
          <w:sz w:val="24"/>
          <w:szCs w:val="24"/>
        </w:rPr>
        <w:t>8.我方未为采购项目提供整体设计、规范编制或者项目管理、监理、检测等服务。</w:t>
      </w:r>
    </w:p>
    <w:p w14:paraId="07CECCEA">
      <w:pPr>
        <w:tabs>
          <w:tab w:val="left" w:pos="6300"/>
        </w:tabs>
        <w:snapToGrid w:val="0"/>
        <w:spacing w:line="312" w:lineRule="auto"/>
        <w:ind w:firstLine="570"/>
        <w:rPr>
          <w:rFonts w:hint="eastAsia" w:ascii="黑体" w:hAnsi="黑体" w:eastAsia="黑体" w:cs="黑体"/>
          <w:sz w:val="24"/>
          <w:szCs w:val="24"/>
        </w:rPr>
      </w:pPr>
    </w:p>
    <w:p w14:paraId="77726314">
      <w:pPr>
        <w:tabs>
          <w:tab w:val="left" w:pos="6300"/>
        </w:tabs>
        <w:snapToGrid w:val="0"/>
        <w:spacing w:line="312" w:lineRule="auto"/>
        <w:ind w:firstLine="570"/>
        <w:rPr>
          <w:rFonts w:hint="eastAsia" w:ascii="黑体" w:hAnsi="黑体" w:eastAsia="黑体" w:cs="黑体"/>
          <w:sz w:val="24"/>
          <w:szCs w:val="24"/>
        </w:rPr>
      </w:pPr>
    </w:p>
    <w:p w14:paraId="21AD8841">
      <w:pPr>
        <w:tabs>
          <w:tab w:val="left" w:pos="6300"/>
        </w:tabs>
        <w:snapToGrid w:val="0"/>
        <w:spacing w:line="312" w:lineRule="auto"/>
        <w:ind w:firstLine="570"/>
        <w:rPr>
          <w:rFonts w:hint="eastAsia" w:ascii="黑体" w:hAnsi="黑体" w:eastAsia="黑体" w:cs="黑体"/>
          <w:sz w:val="24"/>
          <w:szCs w:val="24"/>
        </w:rPr>
      </w:pPr>
      <w:r>
        <w:rPr>
          <w:rFonts w:hint="eastAsia" w:ascii="黑体" w:hAnsi="黑体" w:eastAsia="黑体" w:cs="黑体"/>
          <w:sz w:val="24"/>
          <w:szCs w:val="24"/>
        </w:rPr>
        <w:t>供应商（公章）或自然人签署：</w:t>
      </w:r>
    </w:p>
    <w:p w14:paraId="58BE7DB3">
      <w:pPr>
        <w:tabs>
          <w:tab w:val="left" w:pos="6300"/>
        </w:tabs>
        <w:snapToGrid w:val="0"/>
        <w:spacing w:line="312" w:lineRule="auto"/>
        <w:ind w:firstLine="570"/>
        <w:rPr>
          <w:rFonts w:hint="eastAsia" w:ascii="黑体" w:hAnsi="黑体" w:eastAsia="黑体" w:cs="黑体"/>
          <w:sz w:val="24"/>
          <w:szCs w:val="24"/>
        </w:rPr>
      </w:pPr>
      <w:r>
        <w:rPr>
          <w:rFonts w:hint="eastAsia" w:ascii="黑体" w:hAnsi="黑体" w:eastAsia="黑体" w:cs="黑体"/>
          <w:sz w:val="24"/>
          <w:szCs w:val="24"/>
        </w:rPr>
        <w:t xml:space="preserve">地址：  </w:t>
      </w:r>
    </w:p>
    <w:p w14:paraId="60F5EFBA">
      <w:pPr>
        <w:tabs>
          <w:tab w:val="left" w:pos="6300"/>
        </w:tabs>
        <w:snapToGrid w:val="0"/>
        <w:spacing w:line="312" w:lineRule="auto"/>
        <w:ind w:firstLine="570"/>
        <w:rPr>
          <w:rFonts w:hint="eastAsia" w:ascii="黑体" w:hAnsi="黑体" w:eastAsia="黑体" w:cs="黑体"/>
          <w:sz w:val="24"/>
          <w:szCs w:val="24"/>
        </w:rPr>
      </w:pPr>
      <w:r>
        <w:rPr>
          <w:rFonts w:hint="eastAsia" w:ascii="黑体" w:hAnsi="黑体" w:eastAsia="黑体" w:cs="黑体"/>
          <w:sz w:val="24"/>
          <w:szCs w:val="24"/>
        </w:rPr>
        <w:t>电话：                           传真：</w:t>
      </w:r>
    </w:p>
    <w:p w14:paraId="48FB532C">
      <w:pPr>
        <w:tabs>
          <w:tab w:val="left" w:pos="6300"/>
        </w:tabs>
        <w:snapToGrid w:val="0"/>
        <w:spacing w:line="312" w:lineRule="auto"/>
        <w:ind w:firstLine="570"/>
        <w:rPr>
          <w:rFonts w:hint="eastAsia" w:ascii="黑体" w:hAnsi="黑体" w:eastAsia="黑体" w:cs="黑体"/>
          <w:sz w:val="24"/>
          <w:szCs w:val="24"/>
        </w:rPr>
      </w:pPr>
      <w:r>
        <w:rPr>
          <w:rFonts w:hint="eastAsia" w:ascii="黑体" w:hAnsi="黑体" w:eastAsia="黑体" w:cs="黑体"/>
          <w:sz w:val="24"/>
          <w:szCs w:val="24"/>
        </w:rPr>
        <w:t>网址：                           邮编：</w:t>
      </w:r>
    </w:p>
    <w:p w14:paraId="160DD377">
      <w:pPr>
        <w:tabs>
          <w:tab w:val="left" w:pos="6300"/>
        </w:tabs>
        <w:snapToGrid w:val="0"/>
        <w:spacing w:line="312" w:lineRule="auto"/>
        <w:ind w:firstLine="570"/>
        <w:rPr>
          <w:rFonts w:hint="eastAsia" w:ascii="黑体" w:hAnsi="黑体" w:eastAsia="黑体" w:cs="黑体"/>
          <w:sz w:val="24"/>
          <w:szCs w:val="24"/>
        </w:rPr>
      </w:pPr>
      <w:r>
        <w:rPr>
          <w:rFonts w:hint="eastAsia" w:ascii="黑体" w:hAnsi="黑体" w:eastAsia="黑体" w:cs="黑体"/>
          <w:sz w:val="24"/>
          <w:szCs w:val="24"/>
        </w:rPr>
        <w:t>联系人：</w:t>
      </w:r>
    </w:p>
    <w:p w14:paraId="3A0D02FB">
      <w:pPr>
        <w:snapToGrid w:val="0"/>
        <w:spacing w:line="312" w:lineRule="auto"/>
        <w:ind w:firstLine="480" w:firstLineChars="200"/>
        <w:rPr>
          <w:rFonts w:hint="eastAsia" w:ascii="黑体" w:hAnsi="黑体" w:eastAsia="黑体" w:cs="黑体"/>
          <w:sz w:val="24"/>
          <w:szCs w:val="24"/>
        </w:rPr>
        <w:sectPr>
          <w:pgSz w:w="11907" w:h="16840"/>
          <w:pgMar w:top="1134" w:right="1191" w:bottom="1134" w:left="1304" w:header="454" w:footer="992" w:gutter="0"/>
          <w:pgNumType w:fmt="numberInDash"/>
          <w:cols w:space="720" w:num="1"/>
          <w:docGrid w:linePitch="380" w:charSpace="-5735"/>
        </w:sectPr>
      </w:pPr>
      <w:r>
        <w:rPr>
          <w:rFonts w:hint="eastAsia" w:ascii="黑体" w:hAnsi="黑体" w:eastAsia="黑体" w:cs="黑体"/>
          <w:sz w:val="24"/>
          <w:szCs w:val="24"/>
        </w:rPr>
        <w:t xml:space="preserve">                               年   月   日</w:t>
      </w:r>
    </w:p>
    <w:p w14:paraId="599C8C0B">
      <w:pPr>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（二）明细报价表</w:t>
      </w:r>
    </w:p>
    <w:p w14:paraId="136D4727">
      <w:pPr>
        <w:spacing w:line="400" w:lineRule="exact"/>
        <w:ind w:firstLine="480" w:firstLineChars="200"/>
        <w:rPr>
          <w:rFonts w:hint="eastAsia" w:ascii="黑体" w:hAnsi="黑体" w:eastAsia="黑体" w:cs="黑体"/>
          <w:sz w:val="24"/>
          <w:szCs w:val="24"/>
        </w:rPr>
      </w:pPr>
    </w:p>
    <w:p w14:paraId="45ECF787">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项目</w:t>
      </w:r>
      <w:r>
        <w:rPr>
          <w:rFonts w:hint="eastAsia" w:ascii="黑体" w:hAnsi="黑体" w:eastAsia="黑体" w:cs="黑体"/>
          <w:sz w:val="24"/>
          <w:szCs w:val="24"/>
          <w:lang w:eastAsia="zh-CN"/>
        </w:rPr>
        <w:t>编</w:t>
      </w:r>
      <w:r>
        <w:rPr>
          <w:rFonts w:hint="eastAsia" w:ascii="黑体" w:hAnsi="黑体" w:eastAsia="黑体" w:cs="黑体"/>
          <w:sz w:val="24"/>
          <w:szCs w:val="24"/>
        </w:rPr>
        <w:t xml:space="preserve">号：                           </w:t>
      </w:r>
    </w:p>
    <w:p w14:paraId="0C44CCFA">
      <w:pPr>
        <w:spacing w:line="400" w:lineRule="exact"/>
        <w:ind w:firstLine="480" w:firstLineChars="200"/>
        <w:rPr>
          <w:rFonts w:hint="default" w:ascii="黑体" w:hAnsi="黑体" w:eastAsia="黑体" w:cs="黑体"/>
          <w:sz w:val="24"/>
          <w:szCs w:val="24"/>
          <w:lang w:val="en-US" w:eastAsia="zh-CN"/>
        </w:rPr>
      </w:pPr>
      <w:r>
        <w:rPr>
          <w:rFonts w:hint="eastAsia" w:ascii="黑体" w:hAnsi="黑体" w:eastAsia="黑体" w:cs="黑体"/>
          <w:sz w:val="24"/>
          <w:szCs w:val="24"/>
        </w:rPr>
        <w:t>项目名称：</w:t>
      </w:r>
      <w:r>
        <w:rPr>
          <w:rFonts w:hint="eastAsia" w:ascii="黑体" w:hAnsi="黑体" w:eastAsia="黑体" w:cs="黑体"/>
          <w:sz w:val="24"/>
          <w:szCs w:val="24"/>
          <w:lang w:val="en-US" w:eastAsia="zh-CN"/>
        </w:rPr>
        <w:t xml:space="preserve">                                                  单位：元</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637"/>
        <w:gridCol w:w="3013"/>
        <w:gridCol w:w="1290"/>
      </w:tblGrid>
      <w:tr w14:paraId="4137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1964789E">
            <w:pPr>
              <w:keepNext w:val="0"/>
              <w:keepLines w:val="0"/>
              <w:suppressLineNumbers w:val="0"/>
              <w:spacing w:before="0" w:beforeAutospacing="0" w:after="0" w:afterAutospacing="0"/>
              <w:ind w:left="0" w:right="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序号</w:t>
            </w:r>
          </w:p>
        </w:tc>
        <w:tc>
          <w:tcPr>
            <w:tcW w:w="1637" w:type="dxa"/>
            <w:noWrap w:val="0"/>
            <w:vAlign w:val="center"/>
          </w:tcPr>
          <w:p w14:paraId="7201D18F">
            <w:pPr>
              <w:keepNext w:val="0"/>
              <w:keepLines w:val="0"/>
              <w:suppressLineNumbers w:val="0"/>
              <w:spacing w:before="0" w:beforeAutospacing="0" w:after="0" w:afterAutospacing="0"/>
              <w:ind w:left="0" w:right="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名称</w:t>
            </w:r>
          </w:p>
        </w:tc>
        <w:tc>
          <w:tcPr>
            <w:tcW w:w="3013" w:type="dxa"/>
            <w:noWrap w:val="0"/>
            <w:vAlign w:val="center"/>
          </w:tcPr>
          <w:p w14:paraId="1C2BE540">
            <w:pPr>
              <w:keepNext w:val="0"/>
              <w:keepLines w:val="0"/>
              <w:suppressLineNumbers w:val="0"/>
              <w:spacing w:before="0" w:beforeAutospacing="0" w:after="0" w:afterAutospacing="0"/>
              <w:ind w:left="0" w:right="0"/>
              <w:jc w:val="center"/>
              <w:rPr>
                <w:rFonts w:hint="eastAsia" w:ascii="黑体" w:hAnsi="黑体" w:eastAsia="黑体" w:cs="黑体"/>
                <w:b/>
                <w:bCs/>
                <w:sz w:val="21"/>
                <w:szCs w:val="21"/>
                <w:lang w:eastAsia="zh-CN"/>
              </w:rPr>
            </w:pPr>
            <w:r>
              <w:rPr>
                <w:rFonts w:hint="eastAsia" w:ascii="黑体" w:hAnsi="黑体" w:eastAsia="黑体" w:cs="黑体"/>
                <w:b/>
                <w:bCs/>
                <w:sz w:val="21"/>
                <w:szCs w:val="21"/>
                <w:lang w:eastAsia="zh-CN"/>
              </w:rPr>
              <w:t>服务内容</w:t>
            </w:r>
          </w:p>
        </w:tc>
        <w:tc>
          <w:tcPr>
            <w:tcW w:w="1290" w:type="dxa"/>
            <w:noWrap w:val="0"/>
            <w:vAlign w:val="center"/>
          </w:tcPr>
          <w:p w14:paraId="1DB14C94">
            <w:pPr>
              <w:pStyle w:val="33"/>
              <w:keepNext w:val="0"/>
              <w:keepLines w:val="0"/>
              <w:suppressLineNumbers w:val="0"/>
              <w:spacing w:before="0" w:beforeAutospacing="0" w:after="0" w:afterAutospacing="0"/>
              <w:ind w:left="0" w:right="0"/>
              <w:jc w:val="center"/>
              <w:rPr>
                <w:rFonts w:hint="eastAsia" w:ascii="黑体" w:hAnsi="黑体" w:eastAsia="黑体" w:cs="黑体"/>
                <w:b/>
                <w:bCs/>
                <w:sz w:val="21"/>
                <w:szCs w:val="21"/>
              </w:rPr>
            </w:pPr>
            <w:r>
              <w:rPr>
                <w:rFonts w:hint="eastAsia" w:ascii="黑体" w:hAnsi="黑体" w:eastAsia="黑体" w:cs="黑体"/>
                <w:b/>
                <w:bCs/>
                <w:sz w:val="21"/>
                <w:szCs w:val="21"/>
                <w:lang w:val="en-US" w:eastAsia="zh-CN"/>
              </w:rPr>
              <w:t>明细</w:t>
            </w:r>
            <w:r>
              <w:rPr>
                <w:rFonts w:hint="eastAsia" w:ascii="黑体" w:hAnsi="黑体" w:eastAsia="黑体" w:cs="黑体"/>
                <w:b/>
                <w:bCs/>
                <w:sz w:val="21"/>
                <w:szCs w:val="21"/>
              </w:rPr>
              <w:t>单价</w:t>
            </w:r>
          </w:p>
        </w:tc>
      </w:tr>
      <w:tr w14:paraId="11B0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tcBorders>
              <w:bottom w:val="single" w:color="auto" w:sz="4" w:space="0"/>
            </w:tcBorders>
            <w:noWrap w:val="0"/>
            <w:vAlign w:val="center"/>
          </w:tcPr>
          <w:p w14:paraId="1E7F6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1</w:t>
            </w:r>
          </w:p>
        </w:tc>
        <w:tc>
          <w:tcPr>
            <w:tcW w:w="1637" w:type="dxa"/>
            <w:tcBorders>
              <w:bottom w:val="single" w:color="auto" w:sz="4" w:space="0"/>
            </w:tcBorders>
            <w:noWrap w:val="0"/>
            <w:vAlign w:val="center"/>
          </w:tcPr>
          <w:p w14:paraId="74352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基础体格检查</w:t>
            </w:r>
          </w:p>
        </w:tc>
        <w:tc>
          <w:tcPr>
            <w:tcW w:w="3013" w:type="dxa"/>
            <w:tcBorders>
              <w:bottom w:val="single" w:color="auto" w:sz="4" w:space="0"/>
            </w:tcBorders>
            <w:noWrap w:val="0"/>
            <w:vAlign w:val="center"/>
          </w:tcPr>
          <w:p w14:paraId="62C9F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i w:val="0"/>
                <w:iCs w:val="0"/>
                <w:color w:val="auto"/>
                <w:kern w:val="0"/>
                <w:sz w:val="21"/>
                <w:szCs w:val="21"/>
                <w:highlight w:val="none"/>
                <w:u w:val="none"/>
                <w:lang w:val="en-US" w:eastAsia="zh-CN" w:bidi="ar"/>
              </w:rPr>
              <w:t>身高、体重、体重指数(BMI)、腰围、臀围</w:t>
            </w:r>
          </w:p>
        </w:tc>
        <w:tc>
          <w:tcPr>
            <w:tcW w:w="1290" w:type="dxa"/>
            <w:tcBorders>
              <w:bottom w:val="single" w:color="auto" w:sz="4" w:space="0"/>
            </w:tcBorders>
            <w:noWrap w:val="0"/>
            <w:vAlign w:val="center"/>
          </w:tcPr>
          <w:p w14:paraId="4C415F20">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4607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398CC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2</w:t>
            </w:r>
          </w:p>
        </w:tc>
        <w:tc>
          <w:tcPr>
            <w:tcW w:w="1637" w:type="dxa"/>
            <w:noWrap w:val="0"/>
            <w:vAlign w:val="center"/>
          </w:tcPr>
          <w:p w14:paraId="64C28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血压检查</w:t>
            </w:r>
          </w:p>
        </w:tc>
        <w:tc>
          <w:tcPr>
            <w:tcW w:w="3013" w:type="dxa"/>
            <w:noWrap w:val="0"/>
            <w:vAlign w:val="center"/>
          </w:tcPr>
          <w:p w14:paraId="2241C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i w:val="0"/>
                <w:iCs w:val="0"/>
                <w:color w:val="auto"/>
                <w:kern w:val="0"/>
                <w:sz w:val="21"/>
                <w:szCs w:val="21"/>
                <w:highlight w:val="none"/>
                <w:u w:val="none"/>
                <w:lang w:val="en-US" w:eastAsia="zh-CN" w:bidi="ar"/>
              </w:rPr>
              <w:t>血压、心率</w:t>
            </w:r>
          </w:p>
        </w:tc>
        <w:tc>
          <w:tcPr>
            <w:tcW w:w="1290" w:type="dxa"/>
            <w:noWrap w:val="0"/>
            <w:vAlign w:val="center"/>
          </w:tcPr>
          <w:p w14:paraId="4C6C55EC">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2AE0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55CD0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3</w:t>
            </w:r>
          </w:p>
        </w:tc>
        <w:tc>
          <w:tcPr>
            <w:tcW w:w="1637" w:type="dxa"/>
            <w:noWrap w:val="0"/>
            <w:vAlign w:val="center"/>
          </w:tcPr>
          <w:p w14:paraId="296C7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肺活量检查</w:t>
            </w:r>
          </w:p>
        </w:tc>
        <w:tc>
          <w:tcPr>
            <w:tcW w:w="3013" w:type="dxa"/>
            <w:noWrap w:val="0"/>
            <w:vAlign w:val="center"/>
          </w:tcPr>
          <w:p w14:paraId="7CBB3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i w:val="0"/>
                <w:iCs w:val="0"/>
                <w:color w:val="auto"/>
                <w:kern w:val="0"/>
                <w:sz w:val="21"/>
                <w:szCs w:val="21"/>
                <w:highlight w:val="none"/>
                <w:u w:val="none"/>
                <w:lang w:val="en-US" w:eastAsia="zh-CN" w:bidi="ar"/>
              </w:rPr>
              <w:t>肺活量测定</w:t>
            </w:r>
          </w:p>
        </w:tc>
        <w:tc>
          <w:tcPr>
            <w:tcW w:w="1290" w:type="dxa"/>
            <w:noWrap w:val="0"/>
            <w:vAlign w:val="center"/>
          </w:tcPr>
          <w:p w14:paraId="28891F92">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64A9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tcBorders>
              <w:bottom w:val="single" w:color="auto" w:sz="4" w:space="0"/>
            </w:tcBorders>
            <w:noWrap w:val="0"/>
            <w:vAlign w:val="center"/>
          </w:tcPr>
          <w:p w14:paraId="1930C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4</w:t>
            </w:r>
          </w:p>
        </w:tc>
        <w:tc>
          <w:tcPr>
            <w:tcW w:w="1637" w:type="dxa"/>
            <w:tcBorders>
              <w:bottom w:val="single" w:color="auto" w:sz="4" w:space="0"/>
            </w:tcBorders>
            <w:noWrap w:val="0"/>
            <w:vAlign w:val="center"/>
          </w:tcPr>
          <w:p w14:paraId="2B9B7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内科检查</w:t>
            </w:r>
          </w:p>
        </w:tc>
        <w:tc>
          <w:tcPr>
            <w:tcW w:w="3013" w:type="dxa"/>
            <w:tcBorders>
              <w:bottom w:val="single" w:color="auto" w:sz="4" w:space="0"/>
            </w:tcBorders>
            <w:noWrap w:val="0"/>
            <w:vAlign w:val="center"/>
          </w:tcPr>
          <w:p w14:paraId="22E25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color w:val="000000"/>
                <w:w w:val="100"/>
                <w:sz w:val="21"/>
                <w:szCs w:val="21"/>
                <w:lang w:eastAsia="zh-CN"/>
              </w:rPr>
              <w:t>心、肺听诊（有无心脏杂音、异常呼吸音等）</w:t>
            </w:r>
          </w:p>
        </w:tc>
        <w:tc>
          <w:tcPr>
            <w:tcW w:w="1290" w:type="dxa"/>
            <w:tcBorders>
              <w:bottom w:val="single" w:color="auto" w:sz="4" w:space="0"/>
            </w:tcBorders>
            <w:noWrap w:val="0"/>
            <w:vAlign w:val="center"/>
          </w:tcPr>
          <w:p w14:paraId="2537E2A8">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55C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6F055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5</w:t>
            </w:r>
          </w:p>
        </w:tc>
        <w:tc>
          <w:tcPr>
            <w:tcW w:w="1637" w:type="dxa"/>
            <w:noWrap w:val="0"/>
            <w:vAlign w:val="center"/>
          </w:tcPr>
          <w:p w14:paraId="7F2C2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眼科检查</w:t>
            </w:r>
          </w:p>
        </w:tc>
        <w:tc>
          <w:tcPr>
            <w:tcW w:w="3013" w:type="dxa"/>
            <w:noWrap w:val="0"/>
            <w:vAlign w:val="center"/>
          </w:tcPr>
          <w:p w14:paraId="34C7D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i w:val="0"/>
                <w:iCs w:val="0"/>
                <w:color w:val="auto"/>
                <w:kern w:val="0"/>
                <w:sz w:val="21"/>
                <w:szCs w:val="21"/>
                <w:highlight w:val="none"/>
                <w:u w:val="none"/>
                <w:lang w:val="en-US" w:eastAsia="zh-CN" w:bidi="ar"/>
              </w:rPr>
              <w:t>视力、色觉</w:t>
            </w:r>
          </w:p>
        </w:tc>
        <w:tc>
          <w:tcPr>
            <w:tcW w:w="1290" w:type="dxa"/>
            <w:noWrap w:val="0"/>
            <w:vAlign w:val="center"/>
          </w:tcPr>
          <w:p w14:paraId="7A872EA2">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0835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50F3C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6</w:t>
            </w:r>
          </w:p>
        </w:tc>
        <w:tc>
          <w:tcPr>
            <w:tcW w:w="1637" w:type="dxa"/>
            <w:noWrap w:val="0"/>
            <w:vAlign w:val="center"/>
          </w:tcPr>
          <w:p w14:paraId="130BC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肝功2项</w:t>
            </w:r>
          </w:p>
        </w:tc>
        <w:tc>
          <w:tcPr>
            <w:tcW w:w="3013" w:type="dxa"/>
            <w:noWrap w:val="0"/>
            <w:vAlign w:val="center"/>
          </w:tcPr>
          <w:p w14:paraId="3FBC9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i w:val="0"/>
                <w:iCs w:val="0"/>
                <w:color w:val="auto"/>
                <w:kern w:val="0"/>
                <w:sz w:val="21"/>
                <w:szCs w:val="21"/>
                <w:highlight w:val="none"/>
                <w:u w:val="none"/>
                <w:lang w:val="en-US" w:eastAsia="zh-CN" w:bidi="ar"/>
              </w:rPr>
              <w:t>谷丙转氨酶（ALT），谷草转氨酶(AST)</w:t>
            </w:r>
          </w:p>
        </w:tc>
        <w:tc>
          <w:tcPr>
            <w:tcW w:w="1290" w:type="dxa"/>
            <w:noWrap w:val="0"/>
            <w:vAlign w:val="center"/>
          </w:tcPr>
          <w:p w14:paraId="4BBB14EA">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3031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29754D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7</w:t>
            </w:r>
          </w:p>
        </w:tc>
        <w:tc>
          <w:tcPr>
            <w:tcW w:w="1637" w:type="dxa"/>
            <w:noWrap w:val="0"/>
            <w:vAlign w:val="center"/>
          </w:tcPr>
          <w:p w14:paraId="6A539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血常规</w:t>
            </w:r>
          </w:p>
        </w:tc>
        <w:tc>
          <w:tcPr>
            <w:tcW w:w="3013" w:type="dxa"/>
            <w:noWrap w:val="0"/>
            <w:vAlign w:val="center"/>
          </w:tcPr>
          <w:p w14:paraId="351FC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i w:val="0"/>
                <w:iCs w:val="0"/>
                <w:color w:val="auto"/>
                <w:kern w:val="0"/>
                <w:sz w:val="21"/>
                <w:szCs w:val="21"/>
                <w:highlight w:val="none"/>
                <w:u w:val="none"/>
                <w:lang w:val="en-US" w:eastAsia="zh-CN" w:bidi="ar"/>
              </w:rPr>
              <w:t>有无感染、贫血、凝血功能障碍</w:t>
            </w:r>
          </w:p>
        </w:tc>
        <w:tc>
          <w:tcPr>
            <w:tcW w:w="1290" w:type="dxa"/>
            <w:noWrap w:val="0"/>
            <w:vAlign w:val="center"/>
          </w:tcPr>
          <w:p w14:paraId="2ACD7CA5">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331A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01189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8</w:t>
            </w:r>
          </w:p>
        </w:tc>
        <w:tc>
          <w:tcPr>
            <w:tcW w:w="1637" w:type="dxa"/>
            <w:noWrap w:val="0"/>
            <w:vAlign w:val="center"/>
          </w:tcPr>
          <w:p w14:paraId="7A010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心电图检查</w:t>
            </w:r>
          </w:p>
        </w:tc>
        <w:tc>
          <w:tcPr>
            <w:tcW w:w="3013" w:type="dxa"/>
            <w:noWrap w:val="0"/>
            <w:vAlign w:val="center"/>
          </w:tcPr>
          <w:p w14:paraId="7488A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十二导联静态心电图检查</w:t>
            </w:r>
          </w:p>
        </w:tc>
        <w:tc>
          <w:tcPr>
            <w:tcW w:w="1290" w:type="dxa"/>
            <w:noWrap w:val="0"/>
            <w:vAlign w:val="center"/>
          </w:tcPr>
          <w:p w14:paraId="4D30F82E">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33B0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44" w:type="dxa"/>
            <w:noWrap w:val="0"/>
            <w:vAlign w:val="center"/>
          </w:tcPr>
          <w:p w14:paraId="68D63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黑体" w:hAnsi="黑体" w:eastAsia="黑体" w:cs="黑体"/>
                <w:color w:val="auto"/>
                <w:sz w:val="21"/>
                <w:szCs w:val="21"/>
              </w:rPr>
            </w:pPr>
            <w:r>
              <w:rPr>
                <w:rFonts w:hint="eastAsia" w:ascii="黑体" w:hAnsi="黑体" w:eastAsia="黑体" w:cs="黑体"/>
                <w:b w:val="0"/>
                <w:bCs w:val="0"/>
                <w:i w:val="0"/>
                <w:iCs w:val="0"/>
                <w:color w:val="auto"/>
                <w:kern w:val="0"/>
                <w:sz w:val="21"/>
                <w:szCs w:val="21"/>
                <w:highlight w:val="none"/>
                <w:u w:val="none"/>
                <w:lang w:val="en-US" w:eastAsia="zh-CN" w:bidi="ar"/>
              </w:rPr>
              <w:t>9</w:t>
            </w:r>
          </w:p>
        </w:tc>
        <w:tc>
          <w:tcPr>
            <w:tcW w:w="1637" w:type="dxa"/>
            <w:noWrap w:val="0"/>
            <w:vAlign w:val="center"/>
          </w:tcPr>
          <w:p w14:paraId="32E69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b/>
                <w:bCs/>
                <w:color w:val="auto"/>
                <w:sz w:val="21"/>
                <w:szCs w:val="21"/>
                <w:lang w:eastAsia="zh-CN"/>
              </w:rPr>
            </w:pPr>
            <w:r>
              <w:rPr>
                <w:rFonts w:hint="eastAsia" w:ascii="黑体" w:hAnsi="黑体" w:eastAsia="黑体" w:cs="黑体"/>
                <w:b w:val="0"/>
                <w:bCs w:val="0"/>
                <w:i w:val="0"/>
                <w:iCs w:val="0"/>
                <w:color w:val="auto"/>
                <w:kern w:val="0"/>
                <w:sz w:val="21"/>
                <w:szCs w:val="21"/>
                <w:highlight w:val="none"/>
                <w:u w:val="none"/>
                <w:lang w:val="en-US" w:eastAsia="zh-CN" w:bidi="ar"/>
              </w:rPr>
              <w:t>结核菌素试验</w:t>
            </w:r>
          </w:p>
        </w:tc>
        <w:tc>
          <w:tcPr>
            <w:tcW w:w="3013" w:type="dxa"/>
            <w:noWrap w:val="0"/>
            <w:vAlign w:val="center"/>
          </w:tcPr>
          <w:p w14:paraId="15646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黑体" w:hAnsi="黑体" w:eastAsia="黑体" w:cs="黑体"/>
                <w:color w:val="auto"/>
                <w:sz w:val="21"/>
                <w:szCs w:val="21"/>
              </w:rPr>
            </w:pPr>
            <w:r>
              <w:rPr>
                <w:rFonts w:hint="eastAsia" w:ascii="黑体" w:hAnsi="黑体" w:eastAsia="黑体" w:cs="黑体"/>
                <w:i w:val="0"/>
                <w:iCs w:val="0"/>
                <w:color w:val="auto"/>
                <w:kern w:val="0"/>
                <w:sz w:val="21"/>
                <w:szCs w:val="21"/>
                <w:highlight w:val="none"/>
                <w:u w:val="none"/>
                <w:lang w:val="en-US" w:eastAsia="zh-CN" w:bidi="ar"/>
              </w:rPr>
              <w:t>PPD注射皮试检测（阳性人员提供体检车上门放射DR检查，供应商具备专业体检车）</w:t>
            </w:r>
          </w:p>
        </w:tc>
        <w:tc>
          <w:tcPr>
            <w:tcW w:w="1290" w:type="dxa"/>
            <w:noWrap w:val="0"/>
            <w:vAlign w:val="center"/>
          </w:tcPr>
          <w:p w14:paraId="4DF4D57E">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r w14:paraId="3D58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494" w:type="dxa"/>
            <w:gridSpan w:val="3"/>
            <w:noWrap w:val="0"/>
            <w:vAlign w:val="center"/>
          </w:tcPr>
          <w:p w14:paraId="338BB2A9">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r>
              <w:rPr>
                <w:rFonts w:hint="eastAsia" w:ascii="黑体" w:hAnsi="黑体" w:eastAsia="黑体" w:cs="黑体"/>
                <w:b/>
                <w:bCs/>
                <w:sz w:val="21"/>
                <w:szCs w:val="21"/>
                <w:lang w:val="en-US" w:eastAsia="zh-CN"/>
              </w:rPr>
              <w:t>综合单价</w:t>
            </w:r>
          </w:p>
        </w:tc>
        <w:tc>
          <w:tcPr>
            <w:tcW w:w="1290" w:type="dxa"/>
            <w:noWrap w:val="0"/>
            <w:vAlign w:val="center"/>
          </w:tcPr>
          <w:p w14:paraId="6615C6BE">
            <w:pPr>
              <w:keepNext w:val="0"/>
              <w:keepLines w:val="0"/>
              <w:suppressLineNumbers w:val="0"/>
              <w:spacing w:before="0" w:beforeAutospacing="0" w:after="0" w:afterAutospacing="0"/>
              <w:ind w:left="0" w:right="0"/>
              <w:jc w:val="center"/>
              <w:rPr>
                <w:rFonts w:hint="eastAsia" w:ascii="黑体" w:hAnsi="黑体" w:eastAsia="黑体" w:cs="黑体"/>
                <w:sz w:val="21"/>
                <w:szCs w:val="21"/>
              </w:rPr>
            </w:pPr>
          </w:p>
        </w:tc>
      </w:tr>
    </w:tbl>
    <w:p w14:paraId="0027740B">
      <w:pPr>
        <w:snapToGrid w:val="0"/>
        <w:spacing w:line="500" w:lineRule="exact"/>
        <w:rPr>
          <w:rFonts w:hint="eastAsia" w:ascii="黑体" w:hAnsi="黑体" w:eastAsia="黑体" w:cs="黑体"/>
          <w:sz w:val="24"/>
          <w:szCs w:val="24"/>
        </w:rPr>
      </w:pPr>
    </w:p>
    <w:p w14:paraId="60B6BC64">
      <w:pPr>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注：1.供应商应完整填写本表。</w:t>
      </w:r>
    </w:p>
    <w:p w14:paraId="1F4E75D7">
      <w:pPr>
        <w:numPr>
          <w:ilvl w:val="0"/>
          <w:numId w:val="16"/>
        </w:numPr>
        <w:snapToGrid w:val="0"/>
        <w:spacing w:line="500" w:lineRule="exact"/>
        <w:ind w:left="960" w:leftChars="0" w:firstLine="0" w:firstLineChars="0"/>
        <w:rPr>
          <w:rFonts w:hint="eastAsia" w:ascii="黑体" w:hAnsi="黑体" w:eastAsia="黑体" w:cs="黑体"/>
          <w:sz w:val="24"/>
          <w:szCs w:val="24"/>
        </w:rPr>
      </w:pPr>
      <w:r>
        <w:rPr>
          <w:rFonts w:hint="eastAsia" w:ascii="黑体" w:hAnsi="黑体" w:eastAsia="黑体" w:cs="黑体"/>
          <w:sz w:val="24"/>
          <w:szCs w:val="24"/>
        </w:rPr>
        <w:t>该表可扩展</w:t>
      </w:r>
      <w:bookmarkStart w:id="185" w:name="OLE_LINK1"/>
      <w:bookmarkStart w:id="186" w:name="OLE_LINK2"/>
      <w:r>
        <w:rPr>
          <w:rFonts w:hint="eastAsia" w:ascii="黑体" w:hAnsi="黑体" w:eastAsia="黑体" w:cs="黑体"/>
          <w:sz w:val="24"/>
          <w:szCs w:val="24"/>
        </w:rPr>
        <w:t>。</w:t>
      </w:r>
      <w:bookmarkEnd w:id="185"/>
      <w:bookmarkEnd w:id="186"/>
    </w:p>
    <w:p w14:paraId="0B187859">
      <w:pPr>
        <w:pStyle w:val="38"/>
        <w:spacing w:line="360" w:lineRule="auto"/>
        <w:rPr>
          <w:rFonts w:hint="eastAsia" w:ascii="黑体" w:hAnsi="黑体" w:eastAsia="黑体" w:cs="黑体"/>
          <w:sz w:val="24"/>
          <w:szCs w:val="24"/>
        </w:rPr>
      </w:pPr>
      <w:r>
        <w:rPr>
          <w:rFonts w:hint="eastAsia" w:ascii="黑体" w:hAnsi="黑体" w:eastAsia="黑体" w:cs="黑体"/>
          <w:sz w:val="24"/>
          <w:szCs w:val="24"/>
        </w:rPr>
        <w:t xml:space="preserve">            </w:t>
      </w:r>
    </w:p>
    <w:p w14:paraId="71DD5C0C">
      <w:pPr>
        <w:spacing w:line="360" w:lineRule="auto"/>
        <w:rPr>
          <w:rFonts w:hint="eastAsia" w:ascii="黑体" w:hAnsi="黑体" w:eastAsia="黑体" w:cs="黑体"/>
          <w:sz w:val="24"/>
          <w:szCs w:val="24"/>
        </w:rPr>
      </w:pPr>
      <w:r>
        <w:rPr>
          <w:rFonts w:hint="eastAsia" w:ascii="黑体" w:hAnsi="黑体" w:eastAsia="黑体" w:cs="黑体"/>
          <w:sz w:val="24"/>
          <w:szCs w:val="24"/>
        </w:rPr>
        <w:t xml:space="preserve">                                          供应商名称（公章）或自然人签署：</w:t>
      </w:r>
    </w:p>
    <w:p w14:paraId="15AED14E">
      <w:pPr>
        <w:spacing w:line="360" w:lineRule="auto"/>
        <w:ind w:right="480" w:firstLine="6480" w:firstLineChars="2700"/>
        <w:rPr>
          <w:rFonts w:hint="eastAsia" w:ascii="黑体" w:hAnsi="黑体" w:eastAsia="黑体" w:cs="黑体"/>
          <w:sz w:val="24"/>
          <w:szCs w:val="24"/>
        </w:rPr>
      </w:pPr>
      <w:r>
        <w:rPr>
          <w:rFonts w:hint="eastAsia" w:ascii="黑体" w:hAnsi="黑体" w:eastAsia="黑体" w:cs="黑体"/>
          <w:sz w:val="24"/>
          <w:szCs w:val="24"/>
        </w:rPr>
        <w:t>年     月    日</w:t>
      </w:r>
    </w:p>
    <w:p w14:paraId="5DCC1F74">
      <w:pPr>
        <w:snapToGrid w:val="0"/>
        <w:spacing w:line="360" w:lineRule="auto"/>
        <w:ind w:firstLine="480" w:firstLineChars="200"/>
        <w:rPr>
          <w:rFonts w:hint="eastAsia" w:ascii="黑体" w:hAnsi="黑体" w:eastAsia="黑体" w:cs="黑体"/>
          <w:sz w:val="24"/>
          <w:szCs w:val="24"/>
          <w:bdr w:val="single" w:color="auto" w:sz="4" w:space="0"/>
        </w:rPr>
        <w:sectPr>
          <w:pgSz w:w="11907" w:h="16840"/>
          <w:pgMar w:top="1134" w:right="1191" w:bottom="1134" w:left="1304" w:header="454" w:footer="992" w:gutter="0"/>
          <w:pgNumType w:fmt="numberInDash"/>
          <w:cols w:space="720" w:num="1"/>
          <w:docGrid w:linePitch="380" w:charSpace="-5735"/>
        </w:sectPr>
      </w:pPr>
    </w:p>
    <w:p w14:paraId="3564B749">
      <w:pPr>
        <w:pStyle w:val="3"/>
        <w:adjustRightInd w:val="0"/>
        <w:snapToGrid w:val="0"/>
        <w:spacing w:before="0" w:after="0" w:line="400" w:lineRule="exact"/>
        <w:ind w:firstLine="482" w:firstLineChars="200"/>
        <w:rPr>
          <w:rFonts w:hint="eastAsia" w:ascii="黑体" w:hAnsi="黑体" w:eastAsia="黑体" w:cs="黑体"/>
          <w:sz w:val="24"/>
          <w:szCs w:val="24"/>
        </w:rPr>
      </w:pPr>
      <w:bookmarkStart w:id="187" w:name="_Toc22655"/>
      <w:bookmarkStart w:id="188" w:name="_Toc14073"/>
      <w:bookmarkStart w:id="189" w:name="_Toc106034809"/>
      <w:bookmarkStart w:id="190" w:name="_Toc65660380"/>
      <w:bookmarkStart w:id="191" w:name="_Toc26085"/>
      <w:r>
        <w:rPr>
          <w:rFonts w:hint="eastAsia" w:ascii="黑体" w:hAnsi="黑体" w:eastAsia="黑体" w:cs="黑体"/>
          <w:sz w:val="24"/>
          <w:szCs w:val="24"/>
        </w:rPr>
        <w:t>二、</w:t>
      </w:r>
      <w:r>
        <w:rPr>
          <w:rFonts w:hint="eastAsia" w:ascii="黑体" w:hAnsi="黑体" w:eastAsia="黑体" w:cs="黑体"/>
          <w:sz w:val="24"/>
          <w:szCs w:val="24"/>
          <w:lang w:eastAsia="zh-CN"/>
        </w:rPr>
        <w:t>服务</w:t>
      </w:r>
      <w:r>
        <w:rPr>
          <w:rFonts w:hint="eastAsia" w:ascii="黑体" w:hAnsi="黑体" w:eastAsia="黑体" w:cs="黑体"/>
          <w:sz w:val="24"/>
          <w:szCs w:val="24"/>
        </w:rPr>
        <w:t>部分</w:t>
      </w:r>
      <w:bookmarkEnd w:id="187"/>
      <w:bookmarkEnd w:id="188"/>
      <w:bookmarkEnd w:id="189"/>
      <w:bookmarkEnd w:id="190"/>
      <w:bookmarkEnd w:id="191"/>
    </w:p>
    <w:p w14:paraId="3F421703">
      <w:pPr>
        <w:spacing w:line="400" w:lineRule="exact"/>
        <w:ind w:firstLine="480" w:firstLineChars="200"/>
        <w:rPr>
          <w:rFonts w:hint="eastAsia" w:ascii="黑体" w:hAnsi="黑体" w:eastAsia="黑体" w:cs="黑体"/>
          <w:sz w:val="24"/>
          <w:szCs w:val="24"/>
        </w:rPr>
      </w:pPr>
    </w:p>
    <w:p w14:paraId="27F88C8C">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服务</w:t>
      </w:r>
      <w:r>
        <w:rPr>
          <w:rFonts w:hint="eastAsia" w:ascii="黑体" w:hAnsi="黑体" w:eastAsia="黑体" w:cs="黑体"/>
          <w:sz w:val="24"/>
          <w:szCs w:val="24"/>
        </w:rPr>
        <w:t>响应偏离表</w:t>
      </w:r>
    </w:p>
    <w:p w14:paraId="095DA070">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项目</w:t>
      </w:r>
      <w:r>
        <w:rPr>
          <w:rFonts w:hint="eastAsia" w:ascii="黑体" w:hAnsi="黑体" w:eastAsia="黑体" w:cs="黑体"/>
          <w:sz w:val="24"/>
          <w:szCs w:val="24"/>
          <w:lang w:eastAsia="zh-CN"/>
        </w:rPr>
        <w:t>编</w:t>
      </w:r>
      <w:r>
        <w:rPr>
          <w:rFonts w:hint="eastAsia" w:ascii="黑体" w:hAnsi="黑体" w:eastAsia="黑体" w:cs="黑体"/>
          <w:sz w:val="24"/>
          <w:szCs w:val="24"/>
        </w:rPr>
        <w:t xml:space="preserve">号：                               </w:t>
      </w:r>
    </w:p>
    <w:p w14:paraId="5863DBB4">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478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5AB23DD5">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序号</w:t>
            </w:r>
          </w:p>
        </w:tc>
        <w:tc>
          <w:tcPr>
            <w:tcW w:w="2844" w:type="dxa"/>
            <w:noWrap w:val="0"/>
            <w:vAlign w:val="center"/>
          </w:tcPr>
          <w:p w14:paraId="6A1F6BDD">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采购需求</w:t>
            </w:r>
          </w:p>
        </w:tc>
        <w:tc>
          <w:tcPr>
            <w:tcW w:w="2952" w:type="dxa"/>
            <w:noWrap w:val="0"/>
            <w:vAlign w:val="center"/>
          </w:tcPr>
          <w:p w14:paraId="5CE5DD6D">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响应情况</w:t>
            </w:r>
          </w:p>
        </w:tc>
        <w:tc>
          <w:tcPr>
            <w:tcW w:w="2212" w:type="dxa"/>
            <w:noWrap w:val="0"/>
            <w:vAlign w:val="center"/>
          </w:tcPr>
          <w:p w14:paraId="3622A982">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差异说明</w:t>
            </w:r>
          </w:p>
        </w:tc>
      </w:tr>
      <w:tr w14:paraId="1C39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1218" w:type="dxa"/>
            <w:noWrap w:val="0"/>
            <w:vAlign w:val="center"/>
          </w:tcPr>
          <w:p w14:paraId="3DF681C5">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3367BAE2">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5289970E">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r>
              <w:rPr>
                <w:rFonts w:hint="eastAsia" w:ascii="黑体" w:hAnsi="黑体" w:eastAsia="黑体" w:cs="黑体"/>
                <w:sz w:val="21"/>
                <w:szCs w:val="21"/>
              </w:rPr>
              <w:t>提醒：请注明技术参数或具体内容以及</w:t>
            </w:r>
            <w:r>
              <w:rPr>
                <w:rFonts w:hint="eastAsia" w:ascii="黑体" w:hAnsi="黑体" w:eastAsia="黑体" w:cs="黑体"/>
                <w:sz w:val="21"/>
                <w:szCs w:val="21"/>
                <w:lang w:val="en-US" w:eastAsia="zh-CN"/>
              </w:rPr>
              <w:t>响应</w:t>
            </w:r>
            <w:r>
              <w:rPr>
                <w:rFonts w:hint="eastAsia" w:ascii="黑体" w:hAnsi="黑体" w:eastAsia="黑体" w:cs="黑体"/>
                <w:sz w:val="21"/>
                <w:szCs w:val="21"/>
              </w:rPr>
              <w:t>文件中技术参数或具体内容的位置（页码）</w:t>
            </w:r>
          </w:p>
        </w:tc>
        <w:tc>
          <w:tcPr>
            <w:tcW w:w="2212" w:type="dxa"/>
            <w:noWrap w:val="0"/>
            <w:vAlign w:val="center"/>
          </w:tcPr>
          <w:p w14:paraId="340F7C63">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287A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0585D9F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2A7EF1EB">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5E7D6248">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03812373">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4070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78595CC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50FA6A71">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59BCCACF">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18481D93">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1206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112B8077">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1C0CFFE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3646DF06">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3EB2B7F8">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0862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2D3C6DFF">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796450E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07A6F0FD">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019FDD43">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328C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102C1D48">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62017AE5">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49360E76">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4E1A2DBF">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4B9F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32CEF02A">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6AF9E8A3">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05A1E33C">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56A18B7B">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4783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8" w:type="dxa"/>
            <w:noWrap w:val="0"/>
            <w:vAlign w:val="center"/>
          </w:tcPr>
          <w:p w14:paraId="5345706F">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844" w:type="dxa"/>
            <w:noWrap w:val="0"/>
            <w:vAlign w:val="center"/>
          </w:tcPr>
          <w:p w14:paraId="4B0BD336">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952" w:type="dxa"/>
            <w:noWrap w:val="0"/>
            <w:vAlign w:val="center"/>
          </w:tcPr>
          <w:p w14:paraId="7F065817">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212" w:type="dxa"/>
            <w:noWrap w:val="0"/>
            <w:vAlign w:val="center"/>
          </w:tcPr>
          <w:p w14:paraId="097D615A">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bl>
    <w:p w14:paraId="2B451B8B">
      <w:pPr>
        <w:spacing w:line="500" w:lineRule="exact"/>
        <w:ind w:firstLine="600" w:firstLineChars="250"/>
        <w:rPr>
          <w:rFonts w:hint="eastAsia" w:ascii="黑体" w:hAnsi="黑体" w:eastAsia="黑体" w:cs="黑体"/>
          <w:sz w:val="24"/>
          <w:szCs w:val="24"/>
        </w:rPr>
      </w:pPr>
      <w:r>
        <w:rPr>
          <w:rFonts w:hint="eastAsia" w:ascii="黑体" w:hAnsi="黑体" w:eastAsia="黑体" w:cs="黑体"/>
          <w:sz w:val="24"/>
          <w:szCs w:val="24"/>
        </w:rPr>
        <w:t>供应商：                         法定代表人（或其授权代表）或自然人：</w:t>
      </w:r>
    </w:p>
    <w:p w14:paraId="334C6BF9">
      <w:pPr>
        <w:spacing w:line="500" w:lineRule="exact"/>
        <w:rPr>
          <w:rFonts w:hint="eastAsia" w:ascii="黑体" w:hAnsi="黑体" w:eastAsia="黑体" w:cs="黑体"/>
          <w:sz w:val="24"/>
          <w:szCs w:val="24"/>
        </w:rPr>
      </w:pPr>
      <w:r>
        <w:rPr>
          <w:rFonts w:hint="eastAsia" w:ascii="黑体" w:hAnsi="黑体" w:eastAsia="黑体" w:cs="黑体"/>
          <w:sz w:val="24"/>
          <w:szCs w:val="24"/>
        </w:rPr>
        <w:t xml:space="preserve">    </w:t>
      </w:r>
    </w:p>
    <w:p w14:paraId="197103B4">
      <w:pPr>
        <w:spacing w:line="500" w:lineRule="exact"/>
        <w:ind w:firstLine="720" w:firstLineChars="300"/>
        <w:rPr>
          <w:rFonts w:hint="eastAsia" w:ascii="黑体" w:hAnsi="黑体" w:eastAsia="黑体" w:cs="黑体"/>
          <w:sz w:val="24"/>
          <w:szCs w:val="24"/>
        </w:rPr>
      </w:pPr>
      <w:r>
        <w:rPr>
          <w:rFonts w:hint="eastAsia" w:ascii="黑体" w:hAnsi="黑体" w:eastAsia="黑体" w:cs="黑体"/>
          <w:sz w:val="24"/>
          <w:szCs w:val="24"/>
        </w:rPr>
        <w:t>（供应商公章）                               （签署或盖章）</w:t>
      </w:r>
    </w:p>
    <w:p w14:paraId="4B2A4527">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 xml:space="preserve">                                            年     月     日</w:t>
      </w:r>
    </w:p>
    <w:p w14:paraId="3EAF3820">
      <w:pPr>
        <w:tabs>
          <w:tab w:val="left" w:pos="6300"/>
        </w:tabs>
        <w:snapToGrid w:val="0"/>
        <w:spacing w:line="400" w:lineRule="exact"/>
        <w:ind w:firstLine="480" w:firstLineChars="200"/>
        <w:rPr>
          <w:rFonts w:hint="eastAsia" w:ascii="黑体" w:hAnsi="黑体" w:eastAsia="黑体" w:cs="黑体"/>
          <w:sz w:val="24"/>
          <w:szCs w:val="24"/>
        </w:rPr>
      </w:pPr>
    </w:p>
    <w:p w14:paraId="16B9DC81">
      <w:pPr>
        <w:tabs>
          <w:tab w:val="left" w:pos="6300"/>
        </w:tabs>
        <w:snapToGrid w:val="0"/>
        <w:spacing w:line="400" w:lineRule="exact"/>
        <w:ind w:firstLine="482" w:firstLineChars="200"/>
        <w:rPr>
          <w:rFonts w:hint="eastAsia" w:ascii="黑体" w:hAnsi="黑体" w:eastAsia="黑体" w:cs="黑体"/>
          <w:sz w:val="24"/>
          <w:szCs w:val="24"/>
        </w:rPr>
      </w:pPr>
      <w:r>
        <w:rPr>
          <w:rFonts w:hint="eastAsia" w:ascii="黑体" w:hAnsi="黑体" w:eastAsia="黑体" w:cs="黑体"/>
          <w:b/>
          <w:bCs/>
          <w:sz w:val="24"/>
          <w:szCs w:val="24"/>
        </w:rPr>
        <w:t>注：</w:t>
      </w:r>
      <w:r>
        <w:rPr>
          <w:rFonts w:hint="eastAsia" w:ascii="黑体" w:hAnsi="黑体" w:eastAsia="黑体" w:cs="黑体"/>
          <w:sz w:val="24"/>
          <w:szCs w:val="24"/>
        </w:rPr>
        <w:t>1.本表即为对本项目“第二篇  项目</w:t>
      </w:r>
      <w:r>
        <w:rPr>
          <w:rFonts w:hint="eastAsia" w:ascii="黑体" w:hAnsi="黑体" w:eastAsia="黑体" w:cs="黑体"/>
          <w:sz w:val="24"/>
          <w:szCs w:val="24"/>
          <w:lang w:eastAsia="zh-CN"/>
        </w:rPr>
        <w:t>服务</w:t>
      </w:r>
      <w:r>
        <w:rPr>
          <w:rFonts w:hint="eastAsia" w:ascii="黑体" w:hAnsi="黑体" w:eastAsia="黑体" w:cs="黑体"/>
          <w:sz w:val="24"/>
          <w:szCs w:val="24"/>
        </w:rPr>
        <w:t>需求”中所列条款进行比较和响应；</w:t>
      </w:r>
    </w:p>
    <w:p w14:paraId="1084741E">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.该表可扩展；</w:t>
      </w:r>
    </w:p>
    <w:p w14:paraId="791BEF4E">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3</w:t>
      </w:r>
      <w:r>
        <w:rPr>
          <w:rFonts w:hint="eastAsia" w:ascii="黑体" w:hAnsi="黑体" w:eastAsia="黑体" w:cs="黑体"/>
          <w:color w:val="auto"/>
          <w:sz w:val="24"/>
          <w:szCs w:val="24"/>
        </w:rPr>
        <w:t>.可附相关</w:t>
      </w:r>
      <w:r>
        <w:rPr>
          <w:rFonts w:hint="eastAsia" w:ascii="黑体" w:hAnsi="黑体" w:eastAsia="黑体" w:cs="黑体"/>
          <w:color w:val="auto"/>
          <w:sz w:val="24"/>
          <w:szCs w:val="24"/>
          <w:lang w:val="en-US" w:eastAsia="zh-CN"/>
        </w:rPr>
        <w:t>服务</w:t>
      </w:r>
      <w:r>
        <w:rPr>
          <w:rFonts w:hint="eastAsia" w:ascii="黑体" w:hAnsi="黑体" w:eastAsia="黑体" w:cs="黑体"/>
          <w:color w:val="auto"/>
          <w:sz w:val="24"/>
          <w:szCs w:val="24"/>
        </w:rPr>
        <w:t>支撑材料。（格式自定）</w:t>
      </w:r>
    </w:p>
    <w:p w14:paraId="1947527D">
      <w:pPr>
        <w:tabs>
          <w:tab w:val="left" w:pos="6300"/>
        </w:tabs>
        <w:snapToGrid w:val="0"/>
        <w:spacing w:line="500" w:lineRule="exact"/>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4.</w:t>
      </w:r>
      <w:r>
        <w:rPr>
          <w:rFonts w:hint="eastAsia" w:ascii="黑体" w:hAnsi="黑体" w:eastAsia="黑体" w:cs="黑体"/>
          <w:sz w:val="24"/>
          <w:szCs w:val="24"/>
          <w:lang w:val="en-US" w:eastAsia="zh-CN"/>
        </w:rPr>
        <w:t>响应情况</w:t>
      </w:r>
      <w:r>
        <w:rPr>
          <w:rFonts w:hint="eastAsia" w:ascii="黑体" w:hAnsi="黑体" w:eastAsia="黑体" w:cs="黑体"/>
          <w:sz w:val="24"/>
          <w:szCs w:val="24"/>
        </w:rPr>
        <w:t>栏中应当注明技术参数或具体内容，且必须标注技术参数或具体内容在</w:t>
      </w:r>
      <w:r>
        <w:rPr>
          <w:rFonts w:hint="eastAsia" w:ascii="黑体" w:hAnsi="黑体" w:eastAsia="黑体" w:cs="黑体"/>
          <w:sz w:val="24"/>
          <w:szCs w:val="24"/>
          <w:lang w:val="en-US" w:eastAsia="zh-CN"/>
        </w:rPr>
        <w:t>响应</w:t>
      </w:r>
      <w:r>
        <w:rPr>
          <w:rFonts w:hint="eastAsia" w:ascii="黑体" w:hAnsi="黑体" w:eastAsia="黑体" w:cs="黑体"/>
          <w:sz w:val="24"/>
          <w:szCs w:val="24"/>
        </w:rPr>
        <w:t>文件中的位置（页码）</w:t>
      </w:r>
      <w:r>
        <w:rPr>
          <w:rFonts w:hint="eastAsia" w:ascii="黑体" w:hAnsi="黑体" w:eastAsia="黑体" w:cs="黑体"/>
          <w:sz w:val="24"/>
          <w:szCs w:val="24"/>
          <w:lang w:eastAsia="zh-CN"/>
        </w:rPr>
        <w:t>。</w:t>
      </w:r>
    </w:p>
    <w:p w14:paraId="0DDF2CD6">
      <w:pPr>
        <w:tabs>
          <w:tab w:val="left" w:pos="6300"/>
        </w:tabs>
        <w:snapToGrid w:val="0"/>
        <w:spacing w:line="500" w:lineRule="exact"/>
        <w:ind w:firstLine="480" w:firstLineChars="200"/>
        <w:rPr>
          <w:rFonts w:hint="eastAsia" w:ascii="黑体" w:hAnsi="黑体" w:eastAsia="黑体" w:cs="黑体"/>
          <w:sz w:val="24"/>
          <w:szCs w:val="24"/>
          <w:lang w:val="en-US" w:eastAsia="zh-CN"/>
        </w:rPr>
      </w:pPr>
    </w:p>
    <w:p w14:paraId="489FA31E">
      <w:pPr>
        <w:numPr>
          <w:ilvl w:val="0"/>
          <w:numId w:val="0"/>
        </w:numPr>
        <w:tabs>
          <w:tab w:val="left" w:pos="6300"/>
        </w:tabs>
        <w:snapToGrid w:val="0"/>
        <w:spacing w:line="500" w:lineRule="exact"/>
        <w:ind w:firstLine="241" w:firstLineChars="100"/>
        <w:rPr>
          <w:rFonts w:hint="eastAsia" w:ascii="仿宋" w:hAnsi="仿宋" w:eastAsia="仿宋" w:cs="仿宋"/>
          <w:sz w:val="24"/>
          <w:szCs w:val="24"/>
        </w:rPr>
      </w:pPr>
      <w:r>
        <w:rPr>
          <w:rFonts w:hint="eastAsia" w:ascii="黑体" w:hAnsi="黑体" w:eastAsia="黑体" w:cs="黑体"/>
          <w:b/>
          <w:bCs/>
          <w:sz w:val="24"/>
          <w:szCs w:val="24"/>
          <w:lang w:eastAsia="zh-CN"/>
        </w:rPr>
        <w:t>（</w:t>
      </w:r>
      <w:r>
        <w:rPr>
          <w:rFonts w:hint="eastAsia" w:ascii="黑体" w:hAnsi="黑体" w:eastAsia="黑体" w:cs="黑体"/>
          <w:b/>
          <w:bCs/>
          <w:sz w:val="24"/>
          <w:szCs w:val="24"/>
          <w:lang w:val="en-US" w:eastAsia="zh-CN"/>
        </w:rPr>
        <w:t>二）</w:t>
      </w:r>
      <w:r>
        <w:rPr>
          <w:rFonts w:hint="eastAsia" w:ascii="黑体" w:hAnsi="黑体" w:eastAsia="黑体" w:cs="黑体"/>
          <w:b/>
          <w:bCs/>
          <w:sz w:val="24"/>
          <w:szCs w:val="24"/>
          <w:lang w:eastAsia="zh-CN"/>
        </w:rPr>
        <w:t>其他资料</w:t>
      </w:r>
      <w:r>
        <w:rPr>
          <w:rFonts w:hint="eastAsia" w:ascii="黑体" w:hAnsi="黑体" w:eastAsia="黑体" w:cs="黑体"/>
          <w:b/>
          <w:bCs/>
          <w:sz w:val="24"/>
          <w:szCs w:val="24"/>
        </w:rPr>
        <w:t>（格式自定）</w:t>
      </w:r>
      <w:bookmarkStart w:id="192" w:name="_Toc32158"/>
      <w:bookmarkStart w:id="193" w:name="_Toc32339"/>
      <w:bookmarkStart w:id="194" w:name="_Toc106034810"/>
      <w:bookmarkStart w:id="195" w:name="_Toc65660381"/>
      <w:bookmarkStart w:id="196" w:name="_Toc27717"/>
    </w:p>
    <w:p w14:paraId="422E16E6">
      <w:pPr>
        <w:pStyle w:val="3"/>
        <w:adjustRightInd w:val="0"/>
        <w:snapToGrid w:val="0"/>
        <w:spacing w:before="0" w:after="0" w:line="400" w:lineRule="exact"/>
        <w:ind w:firstLine="482" w:firstLineChars="200"/>
        <w:rPr>
          <w:rFonts w:hint="eastAsia" w:ascii="黑体" w:hAnsi="黑体" w:eastAsia="黑体" w:cs="黑体"/>
          <w:sz w:val="24"/>
          <w:szCs w:val="24"/>
        </w:rPr>
      </w:pPr>
      <w:r>
        <w:rPr>
          <w:rFonts w:hint="eastAsia" w:ascii="黑体" w:hAnsi="黑体" w:eastAsia="黑体" w:cs="黑体"/>
          <w:sz w:val="24"/>
          <w:szCs w:val="24"/>
        </w:rPr>
        <w:t>三、</w:t>
      </w:r>
      <w:r>
        <w:rPr>
          <w:rFonts w:hint="eastAsia" w:ascii="黑体" w:hAnsi="黑体" w:eastAsia="黑体" w:cs="黑体"/>
          <w:sz w:val="24"/>
          <w:szCs w:val="24"/>
          <w:lang w:eastAsia="zh-CN"/>
        </w:rPr>
        <w:t>商务</w:t>
      </w:r>
      <w:r>
        <w:rPr>
          <w:rFonts w:hint="eastAsia" w:ascii="黑体" w:hAnsi="黑体" w:eastAsia="黑体" w:cs="黑体"/>
          <w:sz w:val="24"/>
          <w:szCs w:val="24"/>
        </w:rPr>
        <w:t>部分</w:t>
      </w:r>
      <w:bookmarkEnd w:id="192"/>
      <w:bookmarkEnd w:id="193"/>
      <w:bookmarkEnd w:id="194"/>
      <w:bookmarkEnd w:id="195"/>
      <w:bookmarkEnd w:id="196"/>
    </w:p>
    <w:p w14:paraId="3FEFC56E">
      <w:pPr>
        <w:spacing w:line="400" w:lineRule="exact"/>
        <w:ind w:firstLine="480" w:firstLineChars="200"/>
        <w:rPr>
          <w:rFonts w:hint="eastAsia" w:ascii="黑体" w:hAnsi="黑体" w:eastAsia="黑体" w:cs="黑体"/>
          <w:sz w:val="24"/>
          <w:szCs w:val="24"/>
        </w:rPr>
      </w:pPr>
    </w:p>
    <w:p w14:paraId="46FAF765">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商务</w:t>
      </w:r>
      <w:r>
        <w:rPr>
          <w:rFonts w:hint="eastAsia" w:ascii="黑体" w:hAnsi="黑体" w:eastAsia="黑体" w:cs="黑体"/>
          <w:sz w:val="24"/>
          <w:szCs w:val="24"/>
        </w:rPr>
        <w:t>响应偏离表</w:t>
      </w:r>
    </w:p>
    <w:p w14:paraId="66E12ECD">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项目</w:t>
      </w:r>
      <w:r>
        <w:rPr>
          <w:rFonts w:hint="eastAsia" w:ascii="黑体" w:hAnsi="黑体" w:eastAsia="黑体" w:cs="黑体"/>
          <w:sz w:val="24"/>
          <w:szCs w:val="24"/>
          <w:lang w:eastAsia="zh-CN"/>
        </w:rPr>
        <w:t>编</w:t>
      </w:r>
      <w:r>
        <w:rPr>
          <w:rFonts w:hint="eastAsia" w:ascii="黑体" w:hAnsi="黑体" w:eastAsia="黑体" w:cs="黑体"/>
          <w:sz w:val="24"/>
          <w:szCs w:val="24"/>
        </w:rPr>
        <w:t xml:space="preserve">号：                               </w:t>
      </w:r>
    </w:p>
    <w:p w14:paraId="4FECC456">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项目名称：</w:t>
      </w:r>
    </w:p>
    <w:tbl>
      <w:tblPr>
        <w:tblStyle w:val="5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712"/>
        <w:gridCol w:w="3270"/>
        <w:gridCol w:w="1999"/>
      </w:tblGrid>
      <w:tr w14:paraId="4740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3442FFEF">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序号</w:t>
            </w:r>
          </w:p>
        </w:tc>
        <w:tc>
          <w:tcPr>
            <w:tcW w:w="2712" w:type="dxa"/>
            <w:noWrap w:val="0"/>
            <w:vAlign w:val="center"/>
          </w:tcPr>
          <w:p w14:paraId="2F9BC2D4">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采购需求</w:t>
            </w:r>
          </w:p>
        </w:tc>
        <w:tc>
          <w:tcPr>
            <w:tcW w:w="3270" w:type="dxa"/>
            <w:noWrap w:val="0"/>
            <w:vAlign w:val="center"/>
          </w:tcPr>
          <w:p w14:paraId="0C33071D">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响应情况</w:t>
            </w:r>
          </w:p>
        </w:tc>
        <w:tc>
          <w:tcPr>
            <w:tcW w:w="1999" w:type="dxa"/>
            <w:noWrap w:val="0"/>
            <w:vAlign w:val="center"/>
          </w:tcPr>
          <w:p w14:paraId="001D0DD6">
            <w:pPr>
              <w:keepNext w:val="0"/>
              <w:keepLines w:val="0"/>
              <w:suppressLineNumbers w:val="0"/>
              <w:tabs>
                <w:tab w:val="left" w:pos="6300"/>
              </w:tabs>
              <w:snapToGrid w:val="0"/>
              <w:spacing w:before="0" w:beforeAutospacing="0" w:after="0" w:afterAutospacing="0"/>
              <w:ind w:left="0" w:right="0"/>
              <w:jc w:val="center"/>
              <w:outlineLvl w:val="0"/>
              <w:rPr>
                <w:rFonts w:hint="eastAsia" w:ascii="黑体" w:hAnsi="黑体" w:eastAsia="黑体" w:cs="黑体"/>
                <w:b/>
                <w:sz w:val="21"/>
                <w:szCs w:val="21"/>
              </w:rPr>
            </w:pPr>
            <w:r>
              <w:rPr>
                <w:rFonts w:hint="eastAsia" w:ascii="黑体" w:hAnsi="黑体" w:eastAsia="黑体" w:cs="黑体"/>
                <w:b/>
                <w:sz w:val="21"/>
                <w:szCs w:val="21"/>
              </w:rPr>
              <w:t>差异说明</w:t>
            </w:r>
          </w:p>
        </w:tc>
      </w:tr>
      <w:tr w14:paraId="3980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512" w:type="dxa"/>
            <w:noWrap w:val="0"/>
            <w:vAlign w:val="center"/>
          </w:tcPr>
          <w:p w14:paraId="08E4CD80">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712" w:type="dxa"/>
            <w:noWrap w:val="0"/>
            <w:vAlign w:val="center"/>
          </w:tcPr>
          <w:p w14:paraId="113DA14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3270" w:type="dxa"/>
            <w:noWrap w:val="0"/>
            <w:vAlign w:val="center"/>
          </w:tcPr>
          <w:p w14:paraId="2DFE9F20">
            <w:pPr>
              <w:keepNext w:val="0"/>
              <w:keepLines w:val="0"/>
              <w:suppressLineNumbers w:val="0"/>
              <w:tabs>
                <w:tab w:val="left" w:pos="6300"/>
              </w:tabs>
              <w:snapToGrid w:val="0"/>
              <w:spacing w:before="0" w:beforeAutospacing="0" w:after="0" w:afterAutospacing="0"/>
              <w:ind w:left="0" w:right="0"/>
              <w:outlineLvl w:val="0"/>
              <w:rPr>
                <w:rFonts w:hint="eastAsia" w:ascii="仿宋" w:hAnsi="仿宋" w:eastAsia="仿宋" w:cs="仿宋"/>
                <w:sz w:val="24"/>
                <w:szCs w:val="24"/>
              </w:rPr>
            </w:pPr>
            <w:r>
              <w:rPr>
                <w:rFonts w:hint="eastAsia" w:ascii="黑体" w:hAnsi="黑体" w:eastAsia="黑体" w:cs="黑体"/>
                <w:sz w:val="21"/>
                <w:szCs w:val="21"/>
              </w:rPr>
              <w:t>提醒：请注明具体内容以及投标文件中具体内容的位置（页码）</w:t>
            </w:r>
          </w:p>
        </w:tc>
        <w:tc>
          <w:tcPr>
            <w:tcW w:w="1999" w:type="dxa"/>
            <w:noWrap w:val="0"/>
            <w:vAlign w:val="center"/>
          </w:tcPr>
          <w:p w14:paraId="5C8AC580">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0FA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1A89A3FB">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712" w:type="dxa"/>
            <w:noWrap w:val="0"/>
            <w:vAlign w:val="center"/>
          </w:tcPr>
          <w:p w14:paraId="407E4EF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3270" w:type="dxa"/>
            <w:noWrap w:val="0"/>
            <w:vAlign w:val="center"/>
          </w:tcPr>
          <w:p w14:paraId="0622E48C">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1999" w:type="dxa"/>
            <w:noWrap w:val="0"/>
            <w:vAlign w:val="center"/>
          </w:tcPr>
          <w:p w14:paraId="404E46C3">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2FEF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0E9C1227">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712" w:type="dxa"/>
            <w:noWrap w:val="0"/>
            <w:vAlign w:val="center"/>
          </w:tcPr>
          <w:p w14:paraId="2C52B19E">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3270" w:type="dxa"/>
            <w:noWrap w:val="0"/>
            <w:vAlign w:val="center"/>
          </w:tcPr>
          <w:p w14:paraId="2A7644E2">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1999" w:type="dxa"/>
            <w:noWrap w:val="0"/>
            <w:vAlign w:val="center"/>
          </w:tcPr>
          <w:p w14:paraId="09FF3230">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423C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54E9692F">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712" w:type="dxa"/>
            <w:noWrap w:val="0"/>
            <w:vAlign w:val="center"/>
          </w:tcPr>
          <w:p w14:paraId="7E1728A7">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3270" w:type="dxa"/>
            <w:noWrap w:val="0"/>
            <w:vAlign w:val="center"/>
          </w:tcPr>
          <w:p w14:paraId="3DC5E387">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1999" w:type="dxa"/>
            <w:noWrap w:val="0"/>
            <w:vAlign w:val="center"/>
          </w:tcPr>
          <w:p w14:paraId="74D12E37">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2268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481A2CDF">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712" w:type="dxa"/>
            <w:noWrap w:val="0"/>
            <w:vAlign w:val="center"/>
          </w:tcPr>
          <w:p w14:paraId="3BE45EFD">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3270" w:type="dxa"/>
            <w:noWrap w:val="0"/>
            <w:vAlign w:val="center"/>
          </w:tcPr>
          <w:p w14:paraId="3F96F25C">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1999" w:type="dxa"/>
            <w:noWrap w:val="0"/>
            <w:vAlign w:val="center"/>
          </w:tcPr>
          <w:p w14:paraId="6E56E931">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r w14:paraId="7587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12" w:type="dxa"/>
            <w:noWrap w:val="0"/>
            <w:vAlign w:val="center"/>
          </w:tcPr>
          <w:p w14:paraId="0FBDE254">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2712" w:type="dxa"/>
            <w:noWrap w:val="0"/>
            <w:vAlign w:val="center"/>
          </w:tcPr>
          <w:p w14:paraId="256430E5">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3270" w:type="dxa"/>
            <w:noWrap w:val="0"/>
            <w:vAlign w:val="center"/>
          </w:tcPr>
          <w:p w14:paraId="342A1378">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c>
          <w:tcPr>
            <w:tcW w:w="1999" w:type="dxa"/>
            <w:noWrap w:val="0"/>
            <w:vAlign w:val="center"/>
          </w:tcPr>
          <w:p w14:paraId="634EBB69">
            <w:pPr>
              <w:keepNext w:val="0"/>
              <w:keepLines w:val="0"/>
              <w:suppressLineNumbers w:val="0"/>
              <w:tabs>
                <w:tab w:val="left" w:pos="6300"/>
              </w:tabs>
              <w:snapToGrid w:val="0"/>
              <w:spacing w:before="0" w:beforeAutospacing="0" w:after="0" w:afterAutospacing="0"/>
              <w:ind w:left="0" w:right="0"/>
              <w:jc w:val="center"/>
              <w:outlineLvl w:val="0"/>
              <w:rPr>
                <w:rFonts w:hint="eastAsia" w:ascii="仿宋" w:hAnsi="仿宋" w:eastAsia="仿宋" w:cs="仿宋"/>
                <w:sz w:val="24"/>
                <w:szCs w:val="24"/>
              </w:rPr>
            </w:pPr>
          </w:p>
        </w:tc>
      </w:tr>
    </w:tbl>
    <w:p w14:paraId="7A0919A8">
      <w:pPr>
        <w:spacing w:line="500" w:lineRule="exact"/>
        <w:ind w:firstLine="600" w:firstLineChars="250"/>
        <w:rPr>
          <w:rFonts w:hint="eastAsia" w:ascii="黑体" w:hAnsi="黑体" w:eastAsia="黑体" w:cs="黑体"/>
          <w:sz w:val="24"/>
          <w:szCs w:val="24"/>
        </w:rPr>
      </w:pPr>
      <w:r>
        <w:rPr>
          <w:rFonts w:hint="eastAsia" w:ascii="黑体" w:hAnsi="黑体" w:eastAsia="黑体" w:cs="黑体"/>
          <w:sz w:val="24"/>
          <w:szCs w:val="24"/>
        </w:rPr>
        <w:t>供应商：                          法定代表人（或其授权代表）或自然人：</w:t>
      </w:r>
    </w:p>
    <w:p w14:paraId="1BE8A643">
      <w:pPr>
        <w:spacing w:line="500" w:lineRule="exact"/>
        <w:rPr>
          <w:rFonts w:hint="eastAsia" w:ascii="黑体" w:hAnsi="黑体" w:eastAsia="黑体" w:cs="黑体"/>
          <w:sz w:val="24"/>
          <w:szCs w:val="24"/>
        </w:rPr>
      </w:pPr>
      <w:r>
        <w:rPr>
          <w:rFonts w:hint="eastAsia" w:ascii="黑体" w:hAnsi="黑体" w:eastAsia="黑体" w:cs="黑体"/>
          <w:sz w:val="24"/>
          <w:szCs w:val="24"/>
        </w:rPr>
        <w:t xml:space="preserve">    </w:t>
      </w:r>
    </w:p>
    <w:p w14:paraId="31222867">
      <w:pPr>
        <w:spacing w:line="500" w:lineRule="exact"/>
        <w:ind w:firstLine="360" w:firstLineChars="150"/>
        <w:rPr>
          <w:rFonts w:hint="eastAsia" w:ascii="黑体" w:hAnsi="黑体" w:eastAsia="黑体" w:cs="黑体"/>
          <w:sz w:val="24"/>
          <w:szCs w:val="24"/>
        </w:rPr>
      </w:pPr>
      <w:r>
        <w:rPr>
          <w:rFonts w:hint="eastAsia" w:ascii="黑体" w:hAnsi="黑体" w:eastAsia="黑体" w:cs="黑体"/>
          <w:sz w:val="24"/>
          <w:szCs w:val="24"/>
        </w:rPr>
        <w:t>（供应商公章）                                     （签署或盖章）</w:t>
      </w:r>
    </w:p>
    <w:p w14:paraId="2253E1D1">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 xml:space="preserve">                                                  年     月     日</w:t>
      </w:r>
    </w:p>
    <w:p w14:paraId="58691ECC">
      <w:pPr>
        <w:tabs>
          <w:tab w:val="left" w:pos="6300"/>
        </w:tabs>
        <w:snapToGrid w:val="0"/>
        <w:spacing w:line="500" w:lineRule="exact"/>
        <w:ind w:firstLine="570"/>
        <w:rPr>
          <w:rFonts w:hint="eastAsia" w:ascii="黑体" w:hAnsi="黑体" w:eastAsia="黑体" w:cs="黑体"/>
          <w:sz w:val="24"/>
          <w:szCs w:val="24"/>
        </w:rPr>
      </w:pPr>
    </w:p>
    <w:p w14:paraId="04D2D024">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1.本表即为对本项目“第三篇 采购商务需求”中所列服务要求进行比较和响应；</w:t>
      </w:r>
    </w:p>
    <w:p w14:paraId="253AD8AC">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2</w:t>
      </w:r>
      <w:r>
        <w:rPr>
          <w:rFonts w:hint="eastAsia" w:ascii="黑体" w:hAnsi="黑体" w:eastAsia="黑体" w:cs="黑体"/>
          <w:color w:val="auto"/>
          <w:sz w:val="24"/>
          <w:szCs w:val="24"/>
        </w:rPr>
        <w:t>.该表可扩展；</w:t>
      </w:r>
    </w:p>
    <w:p w14:paraId="7B4F7B4F">
      <w:pPr>
        <w:keepNext w:val="0"/>
        <w:keepLines w:val="0"/>
        <w:pageBreakBefore w:val="0"/>
        <w:widowControl w:val="0"/>
        <w:tabs>
          <w:tab w:val="left" w:pos="6300"/>
        </w:tabs>
        <w:kinsoku/>
        <w:wordWrap/>
        <w:overflowPunct/>
        <w:topLinePunct w:val="0"/>
        <w:autoSpaceDE/>
        <w:autoSpaceDN/>
        <w:bidi w:val="0"/>
        <w:adjustRightInd/>
        <w:snapToGrid w:val="0"/>
        <w:spacing w:line="44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3.</w:t>
      </w:r>
      <w:r>
        <w:rPr>
          <w:rFonts w:hint="eastAsia" w:ascii="黑体" w:hAnsi="黑体" w:eastAsia="黑体" w:cs="黑体"/>
          <w:sz w:val="24"/>
          <w:szCs w:val="24"/>
          <w:lang w:val="en-US" w:eastAsia="zh-CN"/>
        </w:rPr>
        <w:t>响应情况</w:t>
      </w:r>
      <w:r>
        <w:rPr>
          <w:rFonts w:hint="eastAsia" w:ascii="黑体" w:hAnsi="黑体" w:eastAsia="黑体" w:cs="黑体"/>
          <w:sz w:val="24"/>
          <w:szCs w:val="24"/>
        </w:rPr>
        <w:t>答栏中应当注明具体内容，且必须标注具体内容在</w:t>
      </w:r>
      <w:r>
        <w:rPr>
          <w:rFonts w:hint="eastAsia" w:ascii="黑体" w:hAnsi="黑体" w:eastAsia="黑体" w:cs="黑体"/>
          <w:sz w:val="24"/>
          <w:szCs w:val="24"/>
          <w:lang w:val="en-US" w:eastAsia="zh-CN"/>
        </w:rPr>
        <w:t>响应</w:t>
      </w:r>
      <w:r>
        <w:rPr>
          <w:rFonts w:hint="eastAsia" w:ascii="黑体" w:hAnsi="黑体" w:eastAsia="黑体" w:cs="黑体"/>
          <w:sz w:val="24"/>
          <w:szCs w:val="24"/>
        </w:rPr>
        <w:t>文件中的位置（页码）。</w:t>
      </w:r>
    </w:p>
    <w:p w14:paraId="70F88F65">
      <w:pPr>
        <w:tabs>
          <w:tab w:val="left" w:pos="6300"/>
        </w:tabs>
        <w:snapToGrid w:val="0"/>
        <w:spacing w:line="480" w:lineRule="exact"/>
        <w:ind w:firstLine="480" w:firstLineChars="200"/>
        <w:rPr>
          <w:rFonts w:hint="eastAsia" w:ascii="仿宋" w:hAnsi="仿宋" w:eastAsia="仿宋" w:cs="仿宋"/>
          <w:sz w:val="24"/>
          <w:szCs w:val="24"/>
        </w:rPr>
      </w:pPr>
    </w:p>
    <w:p w14:paraId="50D4D2D2">
      <w:pPr>
        <w:tabs>
          <w:tab w:val="left" w:pos="6300"/>
        </w:tabs>
        <w:snapToGrid w:val="0"/>
        <w:spacing w:line="480" w:lineRule="exact"/>
        <w:rPr>
          <w:rFonts w:hint="eastAsia" w:ascii="仿宋" w:hAnsi="仿宋" w:eastAsia="仿宋" w:cs="仿宋"/>
          <w:sz w:val="21"/>
          <w:szCs w:val="21"/>
        </w:rPr>
      </w:pPr>
    </w:p>
    <w:p w14:paraId="03223912">
      <w:pPr>
        <w:tabs>
          <w:tab w:val="left" w:pos="6300"/>
        </w:tabs>
        <w:snapToGrid w:val="0"/>
        <w:spacing w:line="48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（二）其它</w:t>
      </w:r>
      <w:r>
        <w:rPr>
          <w:rFonts w:hint="eastAsia" w:ascii="黑体" w:hAnsi="黑体" w:eastAsia="黑体" w:cs="黑体"/>
          <w:sz w:val="24"/>
          <w:szCs w:val="24"/>
          <w:lang w:eastAsia="zh-CN"/>
        </w:rPr>
        <w:t>文件</w:t>
      </w:r>
      <w:r>
        <w:rPr>
          <w:rFonts w:hint="eastAsia" w:ascii="黑体" w:hAnsi="黑体" w:eastAsia="黑体" w:cs="黑体"/>
          <w:sz w:val="24"/>
          <w:szCs w:val="24"/>
        </w:rPr>
        <w:t>（格式自定）</w:t>
      </w:r>
    </w:p>
    <w:p w14:paraId="3B48B181">
      <w:pPr>
        <w:tabs>
          <w:tab w:val="left" w:pos="6300"/>
        </w:tabs>
        <w:snapToGrid w:val="0"/>
        <w:spacing w:line="480" w:lineRule="exact"/>
        <w:ind w:firstLine="480" w:firstLineChars="200"/>
        <w:rPr>
          <w:rFonts w:hint="eastAsia" w:ascii="黑体" w:hAnsi="黑体" w:eastAsia="黑体" w:cs="黑体"/>
          <w:sz w:val="24"/>
          <w:szCs w:val="24"/>
        </w:rPr>
      </w:pPr>
    </w:p>
    <w:p w14:paraId="66B81960">
      <w:pPr>
        <w:pStyle w:val="3"/>
        <w:adjustRightInd w:val="0"/>
        <w:snapToGrid w:val="0"/>
        <w:spacing w:before="0" w:after="0" w:line="400" w:lineRule="exact"/>
        <w:ind w:firstLine="482" w:firstLineChars="200"/>
        <w:rPr>
          <w:rFonts w:hint="eastAsia" w:ascii="黑体" w:hAnsi="黑体" w:eastAsia="黑体" w:cs="黑体"/>
          <w:sz w:val="24"/>
          <w:szCs w:val="24"/>
        </w:rPr>
      </w:pPr>
      <w:r>
        <w:rPr>
          <w:rFonts w:hint="eastAsia" w:ascii="黑体" w:hAnsi="黑体" w:eastAsia="黑体" w:cs="黑体"/>
          <w:sz w:val="24"/>
          <w:szCs w:val="24"/>
        </w:rPr>
        <w:br w:type="page"/>
      </w:r>
      <w:bookmarkStart w:id="197" w:name="_Toc20162"/>
      <w:bookmarkStart w:id="198" w:name="_Toc65660382"/>
      <w:bookmarkStart w:id="199" w:name="_Toc2082"/>
      <w:bookmarkStart w:id="200" w:name="_Toc106034811"/>
      <w:bookmarkStart w:id="201" w:name="_Toc21793"/>
      <w:r>
        <w:rPr>
          <w:rFonts w:hint="eastAsia" w:ascii="黑体" w:hAnsi="黑体" w:eastAsia="黑体" w:cs="黑体"/>
          <w:sz w:val="24"/>
          <w:szCs w:val="24"/>
        </w:rPr>
        <w:t>四、资格条件及其他</w:t>
      </w:r>
      <w:bookmarkEnd w:id="197"/>
      <w:bookmarkEnd w:id="198"/>
      <w:bookmarkEnd w:id="199"/>
      <w:bookmarkEnd w:id="200"/>
      <w:bookmarkEnd w:id="201"/>
    </w:p>
    <w:p w14:paraId="1094B105">
      <w:pPr>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（一）法人营业执照（副本）或事业单位法人证书（副本）或个体工商户营业执照或有效的自然人身份证明或社会团体法人登记证书复印件</w:t>
      </w:r>
    </w:p>
    <w:p w14:paraId="501A2103">
      <w:pPr>
        <w:tabs>
          <w:tab w:val="left" w:pos="6300"/>
        </w:tabs>
        <w:snapToGrid w:val="0"/>
        <w:spacing w:line="500" w:lineRule="exact"/>
        <w:ind w:firstLine="570"/>
        <w:rPr>
          <w:rFonts w:hint="eastAsia" w:ascii="黑体" w:hAnsi="黑体" w:eastAsia="黑体" w:cs="黑体"/>
          <w:sz w:val="24"/>
          <w:szCs w:val="24"/>
        </w:rPr>
      </w:pPr>
    </w:p>
    <w:p w14:paraId="5551FE05">
      <w:pPr>
        <w:tabs>
          <w:tab w:val="left" w:pos="6300"/>
        </w:tabs>
        <w:snapToGrid w:val="0"/>
        <w:spacing w:line="500" w:lineRule="exact"/>
        <w:ind w:firstLine="570"/>
        <w:rPr>
          <w:rFonts w:hint="eastAsia" w:ascii="黑体" w:hAnsi="黑体" w:eastAsia="黑体" w:cs="黑体"/>
          <w:sz w:val="24"/>
          <w:szCs w:val="24"/>
        </w:rPr>
      </w:pPr>
    </w:p>
    <w:p w14:paraId="2A25D2F6">
      <w:pPr>
        <w:tabs>
          <w:tab w:val="left" w:pos="6300"/>
        </w:tabs>
        <w:snapToGrid w:val="0"/>
        <w:spacing w:line="500" w:lineRule="exact"/>
        <w:ind w:firstLine="570"/>
        <w:rPr>
          <w:rFonts w:hint="eastAsia" w:ascii="黑体" w:hAnsi="黑体" w:eastAsia="黑体" w:cs="黑体"/>
          <w:sz w:val="24"/>
          <w:szCs w:val="24"/>
        </w:rPr>
      </w:pPr>
    </w:p>
    <w:p w14:paraId="720D123F">
      <w:pPr>
        <w:tabs>
          <w:tab w:val="left" w:pos="6300"/>
        </w:tabs>
        <w:snapToGrid w:val="0"/>
        <w:spacing w:line="500" w:lineRule="exact"/>
        <w:ind w:firstLine="570"/>
        <w:rPr>
          <w:rFonts w:hint="eastAsia" w:ascii="黑体" w:hAnsi="黑体" w:eastAsia="黑体" w:cs="黑体"/>
          <w:sz w:val="24"/>
          <w:szCs w:val="24"/>
        </w:rPr>
      </w:pPr>
    </w:p>
    <w:p w14:paraId="0FC8B192">
      <w:pPr>
        <w:widowControl/>
        <w:spacing w:line="400" w:lineRule="exact"/>
        <w:ind w:firstLine="480" w:firstLineChars="200"/>
        <w:jc w:val="left"/>
        <w:rPr>
          <w:rFonts w:hint="eastAsia" w:ascii="黑体" w:hAnsi="黑体" w:eastAsia="黑体" w:cs="黑体"/>
          <w:sz w:val="24"/>
          <w:szCs w:val="24"/>
        </w:rPr>
      </w:pPr>
      <w:r>
        <w:rPr>
          <w:rFonts w:hint="eastAsia" w:ascii="黑体" w:hAnsi="黑体" w:eastAsia="黑体" w:cs="黑体"/>
          <w:sz w:val="24"/>
          <w:szCs w:val="24"/>
        </w:rPr>
        <w:t>（二）法定代表人身份证明书（格式）</w:t>
      </w:r>
    </w:p>
    <w:p w14:paraId="39191F3D">
      <w:pPr>
        <w:tabs>
          <w:tab w:val="left" w:pos="6300"/>
        </w:tabs>
        <w:snapToGrid w:val="0"/>
        <w:spacing w:line="500" w:lineRule="exact"/>
        <w:ind w:firstLine="570"/>
        <w:rPr>
          <w:rFonts w:hint="eastAsia" w:ascii="黑体" w:hAnsi="黑体" w:eastAsia="黑体" w:cs="黑体"/>
          <w:sz w:val="24"/>
          <w:szCs w:val="24"/>
        </w:rPr>
      </w:pPr>
    </w:p>
    <w:p w14:paraId="77E3F0E2">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项目名称：</w:t>
      </w:r>
      <w:r>
        <w:rPr>
          <w:rFonts w:hint="eastAsia" w:ascii="黑体" w:hAnsi="黑体" w:eastAsia="黑体" w:cs="黑体"/>
          <w:sz w:val="24"/>
          <w:szCs w:val="24"/>
          <w:u w:val="single"/>
        </w:rPr>
        <w:t xml:space="preserve">                                                </w:t>
      </w:r>
    </w:p>
    <w:p w14:paraId="1F134CC8">
      <w:pPr>
        <w:tabs>
          <w:tab w:val="left" w:pos="6300"/>
        </w:tabs>
        <w:snapToGrid w:val="0"/>
        <w:spacing w:line="500" w:lineRule="exact"/>
        <w:ind w:firstLine="570"/>
        <w:rPr>
          <w:rFonts w:hint="eastAsia" w:ascii="黑体" w:hAnsi="黑体" w:eastAsia="黑体" w:cs="黑体"/>
          <w:sz w:val="24"/>
          <w:szCs w:val="24"/>
        </w:rPr>
      </w:pPr>
    </w:p>
    <w:p w14:paraId="5D10C48B">
      <w:pPr>
        <w:tabs>
          <w:tab w:val="left" w:pos="6300"/>
        </w:tabs>
        <w:snapToGrid w:val="0"/>
        <w:spacing w:line="500" w:lineRule="exact"/>
        <w:rPr>
          <w:rFonts w:hint="eastAsia" w:ascii="黑体" w:hAnsi="黑体" w:eastAsia="黑体" w:cs="黑体"/>
          <w:sz w:val="24"/>
          <w:szCs w:val="24"/>
        </w:rPr>
      </w:pPr>
      <w:r>
        <w:rPr>
          <w:rFonts w:hint="eastAsia" w:ascii="黑体" w:hAnsi="黑体" w:eastAsia="黑体" w:cs="黑体"/>
          <w:sz w:val="24"/>
          <w:szCs w:val="24"/>
        </w:rPr>
        <w:t>致：</w:t>
      </w:r>
      <w:r>
        <w:rPr>
          <w:rFonts w:hint="eastAsia" w:ascii="黑体" w:hAnsi="黑体" w:eastAsia="黑体" w:cs="黑体"/>
          <w:sz w:val="24"/>
          <w:szCs w:val="24"/>
          <w:u w:val="single"/>
        </w:rPr>
        <w:t xml:space="preserve">                     </w:t>
      </w:r>
      <w:r>
        <w:rPr>
          <w:rFonts w:hint="eastAsia" w:ascii="黑体" w:hAnsi="黑体" w:eastAsia="黑体" w:cs="黑体"/>
          <w:sz w:val="24"/>
          <w:szCs w:val="24"/>
        </w:rPr>
        <w:t>（采购</w:t>
      </w:r>
      <w:r>
        <w:rPr>
          <w:rFonts w:hint="eastAsia" w:ascii="黑体" w:hAnsi="黑体" w:eastAsia="黑体" w:cs="黑体"/>
          <w:sz w:val="24"/>
          <w:szCs w:val="24"/>
          <w:lang w:eastAsia="zh-CN"/>
        </w:rPr>
        <w:t>人</w:t>
      </w:r>
      <w:r>
        <w:rPr>
          <w:rFonts w:hint="eastAsia" w:ascii="黑体" w:hAnsi="黑体" w:eastAsia="黑体" w:cs="黑体"/>
          <w:sz w:val="24"/>
          <w:szCs w:val="24"/>
        </w:rPr>
        <w:t>名称）：</w:t>
      </w:r>
    </w:p>
    <w:p w14:paraId="0B832140">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u w:val="single"/>
        </w:rPr>
        <w:t xml:space="preserve">        </w:t>
      </w:r>
      <w:r>
        <w:rPr>
          <w:rFonts w:hint="eastAsia" w:ascii="黑体" w:hAnsi="黑体" w:eastAsia="黑体" w:cs="黑体"/>
          <w:sz w:val="24"/>
          <w:szCs w:val="24"/>
        </w:rPr>
        <w:t>（法定代表人姓名）在</w:t>
      </w:r>
      <w:r>
        <w:rPr>
          <w:rFonts w:hint="eastAsia" w:ascii="黑体" w:hAnsi="黑体" w:eastAsia="黑体" w:cs="黑体"/>
          <w:sz w:val="24"/>
          <w:szCs w:val="24"/>
          <w:u w:val="single"/>
        </w:rPr>
        <w:t xml:space="preserve">                       </w:t>
      </w:r>
      <w:r>
        <w:rPr>
          <w:rFonts w:hint="eastAsia" w:ascii="黑体" w:hAnsi="黑体" w:eastAsia="黑体" w:cs="黑体"/>
          <w:sz w:val="24"/>
          <w:szCs w:val="24"/>
        </w:rPr>
        <w:t>（供应商名称）任</w:t>
      </w:r>
      <w:r>
        <w:rPr>
          <w:rFonts w:hint="eastAsia" w:ascii="黑体" w:hAnsi="黑体" w:eastAsia="黑体" w:cs="黑体"/>
          <w:sz w:val="24"/>
          <w:szCs w:val="24"/>
          <w:u w:val="single"/>
        </w:rPr>
        <w:t xml:space="preserve">    </w:t>
      </w:r>
      <w:r>
        <w:rPr>
          <w:rFonts w:hint="eastAsia" w:ascii="黑体" w:hAnsi="黑体" w:eastAsia="黑体" w:cs="黑体"/>
          <w:sz w:val="24"/>
          <w:szCs w:val="24"/>
        </w:rPr>
        <w:t>（职务名称）职务，是（供应商名称）</w:t>
      </w:r>
      <w:r>
        <w:rPr>
          <w:rFonts w:hint="eastAsia" w:ascii="黑体" w:hAnsi="黑体" w:eastAsia="黑体" w:cs="黑体"/>
          <w:sz w:val="24"/>
          <w:szCs w:val="24"/>
          <w:u w:val="single"/>
        </w:rPr>
        <w:t xml:space="preserve">              </w:t>
      </w:r>
      <w:r>
        <w:rPr>
          <w:rFonts w:hint="eastAsia" w:ascii="黑体" w:hAnsi="黑体" w:eastAsia="黑体" w:cs="黑体"/>
          <w:sz w:val="24"/>
          <w:szCs w:val="24"/>
        </w:rPr>
        <w:t>的法定代表人。</w:t>
      </w:r>
    </w:p>
    <w:p w14:paraId="51A614F4">
      <w:pPr>
        <w:tabs>
          <w:tab w:val="left" w:pos="6300"/>
        </w:tabs>
        <w:snapToGrid w:val="0"/>
        <w:spacing w:line="500" w:lineRule="exact"/>
        <w:ind w:firstLine="570"/>
        <w:rPr>
          <w:rFonts w:hint="eastAsia" w:ascii="黑体" w:hAnsi="黑体" w:eastAsia="黑体" w:cs="黑体"/>
          <w:sz w:val="24"/>
          <w:szCs w:val="24"/>
        </w:rPr>
      </w:pPr>
    </w:p>
    <w:p w14:paraId="3F1C44DB">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特此证明。</w:t>
      </w:r>
    </w:p>
    <w:p w14:paraId="2A1BB504">
      <w:pPr>
        <w:tabs>
          <w:tab w:val="left" w:pos="6300"/>
        </w:tabs>
        <w:snapToGrid w:val="0"/>
        <w:spacing w:line="500" w:lineRule="exact"/>
        <w:ind w:firstLine="570"/>
        <w:rPr>
          <w:rFonts w:hint="eastAsia" w:ascii="黑体" w:hAnsi="黑体" w:eastAsia="黑体" w:cs="黑体"/>
          <w:sz w:val="24"/>
          <w:szCs w:val="24"/>
        </w:rPr>
      </w:pPr>
    </w:p>
    <w:p w14:paraId="2BEA27FC">
      <w:pPr>
        <w:tabs>
          <w:tab w:val="left" w:pos="6300"/>
        </w:tabs>
        <w:snapToGrid w:val="0"/>
        <w:spacing w:line="500" w:lineRule="exact"/>
        <w:ind w:firstLine="570"/>
        <w:rPr>
          <w:rFonts w:hint="eastAsia" w:ascii="黑体" w:hAnsi="黑体" w:eastAsia="黑体" w:cs="黑体"/>
          <w:sz w:val="24"/>
          <w:szCs w:val="24"/>
        </w:rPr>
      </w:pPr>
    </w:p>
    <w:p w14:paraId="65192F08">
      <w:pPr>
        <w:tabs>
          <w:tab w:val="left" w:pos="6300"/>
        </w:tabs>
        <w:snapToGrid w:val="0"/>
        <w:spacing w:line="500" w:lineRule="exact"/>
        <w:ind w:firstLine="570"/>
        <w:rPr>
          <w:rFonts w:hint="eastAsia" w:ascii="黑体" w:hAnsi="黑体" w:eastAsia="黑体" w:cs="黑体"/>
          <w:sz w:val="24"/>
          <w:szCs w:val="24"/>
        </w:rPr>
      </w:pPr>
    </w:p>
    <w:p w14:paraId="7520F938">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 xml:space="preserve">                                             （供应商公章）</w:t>
      </w:r>
    </w:p>
    <w:p w14:paraId="58997485">
      <w:pPr>
        <w:tabs>
          <w:tab w:val="left" w:pos="6300"/>
        </w:tabs>
        <w:snapToGrid w:val="0"/>
        <w:spacing w:line="500" w:lineRule="exact"/>
        <w:ind w:firstLine="570"/>
        <w:rPr>
          <w:rFonts w:hint="eastAsia" w:ascii="黑体" w:hAnsi="黑体" w:eastAsia="黑体" w:cs="黑体"/>
          <w:sz w:val="24"/>
          <w:szCs w:val="24"/>
        </w:rPr>
      </w:pPr>
    </w:p>
    <w:p w14:paraId="5F95A2E0">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 xml:space="preserve">                                             年   月   日</w:t>
      </w:r>
    </w:p>
    <w:p w14:paraId="66B3E594">
      <w:pPr>
        <w:tabs>
          <w:tab w:val="left" w:pos="6300"/>
        </w:tabs>
        <w:snapToGrid w:val="0"/>
        <w:spacing w:line="500" w:lineRule="exact"/>
        <w:ind w:firstLine="570"/>
        <w:rPr>
          <w:rFonts w:hint="eastAsia" w:ascii="黑体" w:hAnsi="黑体" w:eastAsia="黑体" w:cs="黑体"/>
          <w:sz w:val="24"/>
          <w:szCs w:val="24"/>
        </w:rPr>
      </w:pPr>
    </w:p>
    <w:p w14:paraId="3380FD84">
      <w:pPr>
        <w:tabs>
          <w:tab w:val="left" w:pos="6300"/>
        </w:tabs>
        <w:snapToGrid w:val="0"/>
        <w:spacing w:line="500" w:lineRule="exact"/>
        <w:ind w:firstLine="570"/>
        <w:rPr>
          <w:rFonts w:hint="eastAsia" w:ascii="黑体" w:hAnsi="黑体" w:eastAsia="黑体" w:cs="黑体"/>
          <w:sz w:val="24"/>
          <w:szCs w:val="24"/>
        </w:rPr>
      </w:pPr>
    </w:p>
    <w:p w14:paraId="562325DA">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法定代表人电话：XXXXXXX      电子邮箱：XXXXXX@XXXXX（若授权他人办理并签署响应文件的可不填写）</w:t>
      </w:r>
    </w:p>
    <w:p w14:paraId="31CC2AF9">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（附：法定代表人身份证正反面复印件）</w:t>
      </w:r>
    </w:p>
    <w:p w14:paraId="0A7075AE">
      <w:pPr>
        <w:tabs>
          <w:tab w:val="left" w:pos="6300"/>
        </w:tabs>
        <w:snapToGrid w:val="0"/>
        <w:spacing w:line="500" w:lineRule="exact"/>
        <w:rPr>
          <w:rFonts w:hint="eastAsia" w:ascii="黑体" w:hAnsi="黑体" w:eastAsia="黑体" w:cs="黑体"/>
          <w:sz w:val="24"/>
          <w:szCs w:val="24"/>
        </w:rPr>
      </w:pPr>
    </w:p>
    <w:p w14:paraId="74701A60">
      <w:pPr>
        <w:widowControl/>
        <w:spacing w:line="400" w:lineRule="exact"/>
        <w:ind w:firstLine="480" w:firstLineChars="200"/>
        <w:jc w:val="left"/>
        <w:rPr>
          <w:rFonts w:hint="eastAsia" w:ascii="黑体" w:hAnsi="黑体" w:eastAsia="黑体" w:cs="黑体"/>
          <w:sz w:val="24"/>
          <w:szCs w:val="24"/>
        </w:rPr>
      </w:pPr>
    </w:p>
    <w:p w14:paraId="05972E48">
      <w:pPr>
        <w:widowControl/>
        <w:spacing w:line="400" w:lineRule="exact"/>
        <w:ind w:firstLine="480" w:firstLineChars="200"/>
        <w:jc w:val="left"/>
        <w:rPr>
          <w:rFonts w:hint="eastAsia" w:ascii="黑体" w:hAnsi="黑体" w:eastAsia="黑体" w:cs="黑体"/>
          <w:sz w:val="24"/>
          <w:szCs w:val="24"/>
        </w:rPr>
      </w:pPr>
      <w:r>
        <w:rPr>
          <w:rFonts w:hint="eastAsia" w:ascii="黑体" w:hAnsi="黑体" w:eastAsia="黑体" w:cs="黑体"/>
          <w:sz w:val="24"/>
          <w:szCs w:val="24"/>
        </w:rPr>
        <w:t>（三）法定代表人授权委托书（格式）</w:t>
      </w:r>
    </w:p>
    <w:p w14:paraId="3526FACC">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 xml:space="preserve">    </w:t>
      </w:r>
    </w:p>
    <w:p w14:paraId="706C32C1">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项目名称：</w:t>
      </w:r>
      <w:r>
        <w:rPr>
          <w:rFonts w:hint="eastAsia" w:ascii="黑体" w:hAnsi="黑体" w:eastAsia="黑体" w:cs="黑体"/>
          <w:sz w:val="24"/>
          <w:szCs w:val="24"/>
          <w:u w:val="single"/>
        </w:rPr>
        <w:t xml:space="preserve">                                                </w:t>
      </w:r>
    </w:p>
    <w:p w14:paraId="5C1CD20D">
      <w:pPr>
        <w:tabs>
          <w:tab w:val="left" w:pos="6300"/>
        </w:tabs>
        <w:snapToGrid w:val="0"/>
        <w:spacing w:line="500" w:lineRule="exact"/>
        <w:ind w:firstLine="570"/>
        <w:rPr>
          <w:rFonts w:hint="eastAsia" w:ascii="黑体" w:hAnsi="黑体" w:eastAsia="黑体" w:cs="黑体"/>
          <w:sz w:val="24"/>
          <w:szCs w:val="24"/>
        </w:rPr>
      </w:pPr>
    </w:p>
    <w:p w14:paraId="31181863">
      <w:pPr>
        <w:tabs>
          <w:tab w:val="left" w:pos="6300"/>
        </w:tabs>
        <w:snapToGrid w:val="0"/>
        <w:spacing w:line="500" w:lineRule="exact"/>
        <w:rPr>
          <w:rFonts w:hint="eastAsia" w:ascii="黑体" w:hAnsi="黑体" w:eastAsia="黑体" w:cs="黑体"/>
          <w:sz w:val="24"/>
          <w:szCs w:val="24"/>
        </w:rPr>
      </w:pPr>
      <w:r>
        <w:rPr>
          <w:rFonts w:hint="eastAsia" w:ascii="黑体" w:hAnsi="黑体" w:eastAsia="黑体" w:cs="黑体"/>
          <w:sz w:val="24"/>
          <w:szCs w:val="24"/>
        </w:rPr>
        <w:t>致：</w:t>
      </w:r>
      <w:r>
        <w:rPr>
          <w:rFonts w:hint="eastAsia" w:ascii="黑体" w:hAnsi="黑体" w:eastAsia="黑体" w:cs="黑体"/>
          <w:sz w:val="24"/>
          <w:szCs w:val="24"/>
          <w:u w:val="single"/>
        </w:rPr>
        <w:t xml:space="preserve">                     </w:t>
      </w:r>
      <w:r>
        <w:rPr>
          <w:rFonts w:hint="eastAsia" w:ascii="黑体" w:hAnsi="黑体" w:eastAsia="黑体" w:cs="黑体"/>
          <w:sz w:val="24"/>
          <w:szCs w:val="24"/>
        </w:rPr>
        <w:t>（采购</w:t>
      </w:r>
      <w:r>
        <w:rPr>
          <w:rFonts w:hint="eastAsia" w:ascii="黑体" w:hAnsi="黑体" w:eastAsia="黑体" w:cs="黑体"/>
          <w:sz w:val="24"/>
          <w:szCs w:val="24"/>
          <w:lang w:eastAsia="zh-CN"/>
        </w:rPr>
        <w:t>人</w:t>
      </w:r>
      <w:r>
        <w:rPr>
          <w:rFonts w:hint="eastAsia" w:ascii="黑体" w:hAnsi="黑体" w:eastAsia="黑体" w:cs="黑体"/>
          <w:sz w:val="24"/>
          <w:szCs w:val="24"/>
        </w:rPr>
        <w:t>名称）：</w:t>
      </w:r>
    </w:p>
    <w:p w14:paraId="111DE938">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u w:val="single"/>
        </w:rPr>
        <w:t xml:space="preserve">            </w:t>
      </w:r>
      <w:r>
        <w:rPr>
          <w:rFonts w:hint="eastAsia" w:ascii="黑体" w:hAnsi="黑体" w:eastAsia="黑体" w:cs="黑体"/>
          <w:sz w:val="24"/>
          <w:szCs w:val="24"/>
        </w:rPr>
        <w:t>（供应商法定代表人名称）是</w:t>
      </w:r>
      <w:r>
        <w:rPr>
          <w:rFonts w:hint="eastAsia" w:ascii="黑体" w:hAnsi="黑体" w:eastAsia="黑体" w:cs="黑体"/>
          <w:sz w:val="24"/>
          <w:szCs w:val="24"/>
          <w:u w:val="single"/>
        </w:rPr>
        <w:t xml:space="preserve">                    </w:t>
      </w:r>
      <w:r>
        <w:rPr>
          <w:rFonts w:hint="eastAsia" w:ascii="黑体" w:hAnsi="黑体" w:eastAsia="黑体" w:cs="黑体"/>
          <w:sz w:val="24"/>
          <w:szCs w:val="24"/>
        </w:rPr>
        <w:t>（供应商名称）的法定代表人，特授权</w:t>
      </w:r>
      <w:r>
        <w:rPr>
          <w:rFonts w:hint="eastAsia" w:ascii="黑体" w:hAnsi="黑体" w:eastAsia="黑体" w:cs="黑体"/>
          <w:sz w:val="24"/>
          <w:szCs w:val="24"/>
          <w:u w:val="single"/>
        </w:rPr>
        <w:t xml:space="preserve">          </w:t>
      </w:r>
      <w:r>
        <w:rPr>
          <w:rFonts w:hint="eastAsia" w:ascii="黑体" w:hAnsi="黑体" w:eastAsia="黑体" w:cs="黑体"/>
          <w:sz w:val="24"/>
          <w:szCs w:val="24"/>
        </w:rPr>
        <w:t>（被授权人姓名及身份证代码）代表我单位全权办理上述项目的报价、签约等具体工作，并签署全部有关文件、协议及合同。</w:t>
      </w:r>
    </w:p>
    <w:p w14:paraId="02929E08">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我单位对被授权人的签署负全部责任。</w:t>
      </w:r>
    </w:p>
    <w:p w14:paraId="70DE0FC2">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在撤销授权的书面通知以前，本授权书一直有效。被授权人在授权书有效期内签署的所有文件不因授权的撤销而失效。</w:t>
      </w:r>
    </w:p>
    <w:p w14:paraId="1808B041">
      <w:pPr>
        <w:tabs>
          <w:tab w:val="left" w:pos="6300"/>
        </w:tabs>
        <w:snapToGrid w:val="0"/>
        <w:spacing w:line="500" w:lineRule="exact"/>
        <w:ind w:firstLine="570"/>
        <w:rPr>
          <w:rFonts w:hint="eastAsia" w:ascii="黑体" w:hAnsi="黑体" w:eastAsia="黑体" w:cs="黑体"/>
          <w:sz w:val="24"/>
          <w:szCs w:val="24"/>
        </w:rPr>
      </w:pPr>
    </w:p>
    <w:p w14:paraId="3C5F72E2">
      <w:pPr>
        <w:tabs>
          <w:tab w:val="left" w:pos="6300"/>
        </w:tabs>
        <w:snapToGrid w:val="0"/>
        <w:spacing w:line="500" w:lineRule="exact"/>
        <w:ind w:firstLine="570"/>
        <w:rPr>
          <w:rFonts w:hint="eastAsia" w:ascii="黑体" w:hAnsi="黑体" w:eastAsia="黑体" w:cs="黑体"/>
          <w:sz w:val="24"/>
          <w:szCs w:val="24"/>
        </w:rPr>
      </w:pPr>
    </w:p>
    <w:p w14:paraId="68BA462C">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被授权人：                                 供应商法定代表人：</w:t>
      </w:r>
    </w:p>
    <w:p w14:paraId="1F1D7360">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（签署或盖章）                                （签署或盖章）</w:t>
      </w:r>
    </w:p>
    <w:p w14:paraId="24377CF9">
      <w:pPr>
        <w:tabs>
          <w:tab w:val="left" w:pos="6300"/>
        </w:tabs>
        <w:snapToGrid w:val="0"/>
        <w:spacing w:line="500" w:lineRule="exact"/>
        <w:ind w:firstLine="570"/>
        <w:rPr>
          <w:rFonts w:hint="eastAsia" w:ascii="黑体" w:hAnsi="黑体" w:eastAsia="黑体" w:cs="黑体"/>
          <w:sz w:val="24"/>
          <w:szCs w:val="24"/>
        </w:rPr>
      </w:pPr>
    </w:p>
    <w:p w14:paraId="5E729C66">
      <w:pPr>
        <w:tabs>
          <w:tab w:val="left" w:pos="6300"/>
        </w:tabs>
        <w:snapToGrid w:val="0"/>
        <w:spacing w:line="500" w:lineRule="exact"/>
        <w:ind w:firstLine="570"/>
        <w:rPr>
          <w:rFonts w:hint="eastAsia" w:ascii="黑体" w:hAnsi="黑体" w:eastAsia="黑体" w:cs="黑体"/>
          <w:sz w:val="24"/>
          <w:szCs w:val="24"/>
        </w:rPr>
      </w:pPr>
    </w:p>
    <w:p w14:paraId="781EE293">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（附：被授权人身份证正反面复印件）</w:t>
      </w:r>
    </w:p>
    <w:p w14:paraId="1E740D64">
      <w:pPr>
        <w:tabs>
          <w:tab w:val="left" w:pos="6300"/>
        </w:tabs>
        <w:snapToGrid w:val="0"/>
        <w:spacing w:line="500" w:lineRule="exact"/>
        <w:ind w:firstLine="570"/>
        <w:rPr>
          <w:rFonts w:hint="eastAsia" w:ascii="黑体" w:hAnsi="黑体" w:eastAsia="黑体" w:cs="黑体"/>
          <w:sz w:val="24"/>
          <w:szCs w:val="24"/>
        </w:rPr>
      </w:pPr>
      <w:r>
        <w:rPr>
          <w:rFonts w:hint="eastAsia" w:ascii="黑体" w:hAnsi="黑体" w:eastAsia="黑体" w:cs="黑体"/>
          <w:sz w:val="24"/>
          <w:szCs w:val="24"/>
        </w:rPr>
        <w:t xml:space="preserve">                                          </w:t>
      </w:r>
    </w:p>
    <w:p w14:paraId="7C27B6DC">
      <w:pPr>
        <w:tabs>
          <w:tab w:val="left" w:pos="6300"/>
        </w:tabs>
        <w:snapToGrid w:val="0"/>
        <w:spacing w:line="500" w:lineRule="exact"/>
        <w:ind w:right="480" w:firstLine="570"/>
        <w:jc w:val="right"/>
        <w:rPr>
          <w:rFonts w:hint="eastAsia" w:ascii="黑体" w:hAnsi="黑体" w:eastAsia="黑体" w:cs="黑体"/>
          <w:sz w:val="24"/>
          <w:szCs w:val="24"/>
        </w:rPr>
      </w:pPr>
      <w:r>
        <w:rPr>
          <w:rFonts w:hint="eastAsia" w:ascii="黑体" w:hAnsi="黑体" w:eastAsia="黑体" w:cs="黑体"/>
          <w:sz w:val="24"/>
          <w:szCs w:val="24"/>
        </w:rPr>
        <w:t>（供应商公章）</w:t>
      </w:r>
    </w:p>
    <w:p w14:paraId="0CB7072A">
      <w:pPr>
        <w:tabs>
          <w:tab w:val="left" w:pos="6300"/>
        </w:tabs>
        <w:snapToGrid w:val="0"/>
        <w:spacing w:line="500" w:lineRule="exact"/>
        <w:ind w:right="480" w:firstLine="570"/>
        <w:jc w:val="right"/>
        <w:rPr>
          <w:rFonts w:hint="eastAsia" w:ascii="黑体" w:hAnsi="黑体" w:eastAsia="黑体" w:cs="黑体"/>
          <w:sz w:val="24"/>
          <w:szCs w:val="24"/>
        </w:rPr>
      </w:pPr>
      <w:r>
        <w:rPr>
          <w:rFonts w:hint="eastAsia" w:ascii="黑体" w:hAnsi="黑体" w:eastAsia="黑体" w:cs="黑体"/>
          <w:sz w:val="24"/>
          <w:szCs w:val="24"/>
        </w:rPr>
        <w:t>年   月   日</w:t>
      </w:r>
    </w:p>
    <w:p w14:paraId="70664383">
      <w:pPr>
        <w:tabs>
          <w:tab w:val="left" w:pos="6300"/>
        </w:tabs>
        <w:snapToGrid w:val="0"/>
        <w:spacing w:line="500" w:lineRule="exact"/>
        <w:ind w:right="480" w:firstLine="570"/>
        <w:jc w:val="left"/>
        <w:rPr>
          <w:rFonts w:hint="eastAsia" w:ascii="黑体" w:hAnsi="黑体" w:eastAsia="黑体" w:cs="黑体"/>
          <w:sz w:val="24"/>
          <w:szCs w:val="24"/>
        </w:rPr>
      </w:pPr>
      <w:r>
        <w:rPr>
          <w:rFonts w:hint="eastAsia" w:ascii="黑体" w:hAnsi="黑体" w:eastAsia="黑体" w:cs="黑体"/>
          <w:sz w:val="24"/>
          <w:szCs w:val="24"/>
        </w:rPr>
        <w:t>被授权人电话：XXXXXXX     电子邮箱：XXXXXX@XXXXX（若法定代表人办理并签署响应文件的可不填写）</w:t>
      </w:r>
    </w:p>
    <w:p w14:paraId="291C8B30">
      <w:pPr>
        <w:tabs>
          <w:tab w:val="left" w:pos="6300"/>
        </w:tabs>
        <w:snapToGrid w:val="0"/>
        <w:spacing w:line="500" w:lineRule="exact"/>
        <w:ind w:right="480" w:firstLine="570"/>
        <w:jc w:val="left"/>
        <w:rPr>
          <w:rFonts w:hint="eastAsia" w:ascii="黑体" w:hAnsi="黑体" w:eastAsia="黑体" w:cs="黑体"/>
          <w:sz w:val="24"/>
          <w:szCs w:val="24"/>
        </w:rPr>
      </w:pPr>
      <w:r>
        <w:rPr>
          <w:rFonts w:hint="eastAsia" w:ascii="黑体" w:hAnsi="黑体" w:eastAsia="黑体" w:cs="黑体"/>
          <w:sz w:val="24"/>
          <w:szCs w:val="24"/>
        </w:rPr>
        <w:t>注：</w:t>
      </w:r>
    </w:p>
    <w:p w14:paraId="588ADA05">
      <w:pPr>
        <w:tabs>
          <w:tab w:val="left" w:pos="6300"/>
        </w:tabs>
        <w:snapToGrid w:val="0"/>
        <w:spacing w:line="500" w:lineRule="exact"/>
        <w:ind w:right="480" w:firstLine="570"/>
        <w:jc w:val="left"/>
        <w:rPr>
          <w:rFonts w:hint="eastAsia" w:ascii="黑体" w:hAnsi="黑体" w:eastAsia="黑体" w:cs="黑体"/>
          <w:sz w:val="24"/>
          <w:szCs w:val="24"/>
        </w:rPr>
      </w:pPr>
      <w:r>
        <w:rPr>
          <w:rFonts w:hint="eastAsia" w:ascii="黑体" w:hAnsi="黑体" w:eastAsia="黑体" w:cs="黑体"/>
          <w:sz w:val="24"/>
          <w:szCs w:val="24"/>
        </w:rPr>
        <w:t>1.若为法定代表人办理并签署响应文件的，不提供此文件。</w:t>
      </w:r>
    </w:p>
    <w:p w14:paraId="2623B0BE">
      <w:pPr>
        <w:widowControl/>
        <w:spacing w:line="400" w:lineRule="exact"/>
        <w:ind w:firstLine="480" w:firstLineChars="200"/>
        <w:jc w:val="left"/>
        <w:rPr>
          <w:rFonts w:hint="eastAsia" w:ascii="黑体" w:hAnsi="黑体" w:eastAsia="黑体" w:cs="黑体"/>
          <w:sz w:val="24"/>
          <w:szCs w:val="24"/>
        </w:rPr>
      </w:pPr>
      <w:r>
        <w:rPr>
          <w:rFonts w:hint="eastAsia" w:ascii="黑体" w:hAnsi="黑体" w:eastAsia="黑体" w:cs="黑体"/>
          <w:sz w:val="24"/>
          <w:szCs w:val="24"/>
        </w:rPr>
        <w:br w:type="column"/>
      </w:r>
      <w:r>
        <w:rPr>
          <w:rFonts w:hint="eastAsia" w:ascii="黑体" w:hAnsi="黑体" w:eastAsia="黑体" w:cs="黑体"/>
          <w:sz w:val="24"/>
          <w:szCs w:val="24"/>
        </w:rPr>
        <w:t>（四）基本资格条件承诺函（格式）</w:t>
      </w:r>
    </w:p>
    <w:p w14:paraId="4896BFF0">
      <w:pPr>
        <w:tabs>
          <w:tab w:val="left" w:pos="6300"/>
        </w:tabs>
        <w:snapToGrid w:val="0"/>
        <w:spacing w:line="500" w:lineRule="exact"/>
        <w:ind w:firstLine="482" w:firstLineChars="200"/>
        <w:jc w:val="center"/>
        <w:rPr>
          <w:rFonts w:hint="eastAsia" w:ascii="黑体" w:hAnsi="黑体" w:eastAsia="黑体" w:cs="黑体"/>
          <w:b/>
          <w:bCs/>
          <w:sz w:val="24"/>
          <w:szCs w:val="24"/>
        </w:rPr>
      </w:pPr>
    </w:p>
    <w:p w14:paraId="71C2E906">
      <w:pPr>
        <w:tabs>
          <w:tab w:val="left" w:pos="6300"/>
        </w:tabs>
        <w:snapToGrid w:val="0"/>
        <w:spacing w:line="500" w:lineRule="exact"/>
        <w:ind w:firstLine="482" w:firstLineChars="200"/>
        <w:jc w:val="center"/>
        <w:rPr>
          <w:rFonts w:hint="eastAsia" w:ascii="黑体" w:hAnsi="黑体" w:eastAsia="黑体" w:cs="黑体"/>
          <w:b/>
          <w:bCs/>
          <w:sz w:val="24"/>
          <w:szCs w:val="24"/>
        </w:rPr>
      </w:pPr>
      <w:r>
        <w:rPr>
          <w:rFonts w:hint="eastAsia" w:ascii="黑体" w:hAnsi="黑体" w:eastAsia="黑体" w:cs="黑体"/>
          <w:b/>
          <w:bCs/>
          <w:sz w:val="24"/>
          <w:szCs w:val="24"/>
        </w:rPr>
        <w:t>基本资格条件承诺函</w:t>
      </w:r>
    </w:p>
    <w:p w14:paraId="1CF56785">
      <w:pPr>
        <w:tabs>
          <w:tab w:val="left" w:pos="6300"/>
        </w:tabs>
        <w:snapToGrid w:val="0"/>
        <w:spacing w:line="530" w:lineRule="exact"/>
        <w:rPr>
          <w:rFonts w:hint="eastAsia" w:ascii="黑体" w:hAnsi="黑体" w:eastAsia="黑体" w:cs="黑体"/>
          <w:sz w:val="24"/>
          <w:szCs w:val="24"/>
        </w:rPr>
      </w:pPr>
    </w:p>
    <w:p w14:paraId="206A2C1B">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致</w:t>
      </w:r>
      <w:r>
        <w:rPr>
          <w:rFonts w:hint="eastAsia" w:ascii="黑体" w:hAnsi="黑体" w:eastAsia="黑体" w:cs="黑体"/>
          <w:sz w:val="24"/>
          <w:szCs w:val="24"/>
          <w:u w:val="single"/>
        </w:rPr>
        <w:t xml:space="preserve">                   </w:t>
      </w:r>
      <w:r>
        <w:rPr>
          <w:rFonts w:hint="eastAsia" w:ascii="黑体" w:hAnsi="黑体" w:eastAsia="黑体" w:cs="黑体"/>
          <w:sz w:val="24"/>
          <w:szCs w:val="24"/>
        </w:rPr>
        <w:t>（采购</w:t>
      </w:r>
      <w:r>
        <w:rPr>
          <w:rFonts w:hint="eastAsia" w:ascii="黑体" w:hAnsi="黑体" w:eastAsia="黑体" w:cs="黑体"/>
          <w:sz w:val="24"/>
          <w:szCs w:val="24"/>
          <w:lang w:eastAsia="zh-CN"/>
        </w:rPr>
        <w:t>人</w:t>
      </w:r>
      <w:r>
        <w:rPr>
          <w:rFonts w:hint="eastAsia" w:ascii="黑体" w:hAnsi="黑体" w:eastAsia="黑体" w:cs="黑体"/>
          <w:sz w:val="24"/>
          <w:szCs w:val="24"/>
        </w:rPr>
        <w:t>名称）：</w:t>
      </w:r>
    </w:p>
    <w:p w14:paraId="2B1FB5A1">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rPr>
        <w:t>（供应商名称）郑重承诺：</w:t>
      </w:r>
    </w:p>
    <w:p w14:paraId="46D6C13F">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1.我方具有良好的商业信誉和健全的财务会计制度，具有履行合同所必需的设备和专业技术能力，具</w:t>
      </w:r>
      <w:r>
        <w:rPr>
          <w:rFonts w:hint="eastAsia" w:ascii="黑体" w:hAnsi="黑体" w:eastAsia="黑体" w:cs="黑体"/>
          <w:sz w:val="24"/>
          <w:szCs w:val="24"/>
          <w:lang w:val="zh-CN"/>
        </w:rPr>
        <w:t>有依法缴纳税收和社会保障金的良好记录</w:t>
      </w:r>
      <w:r>
        <w:rPr>
          <w:rFonts w:hint="eastAsia" w:ascii="黑体" w:hAnsi="黑体" w:eastAsia="黑体" w:cs="黑体"/>
          <w:sz w:val="24"/>
          <w:szCs w:val="24"/>
        </w:rPr>
        <w:t>，参加本项目采购活动前三年内无重大违法活动记录。</w:t>
      </w:r>
    </w:p>
    <w:p w14:paraId="6874A293">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2.我方未列入在信用中国网站（www.creditchina.gov.cn）“失信被执行人”、“重大税收违法案件当事人名单”中，也未列入中国政府采购网（www.ccgp.gov.cn）“政府采购严重违法失信行为记录名单”中。</w:t>
      </w:r>
    </w:p>
    <w:p w14:paraId="48816BD4">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3.我方在采购项目评审（评标）环节结束后，随时接受采购人、采购代理机构的检查验证，配合提供相关证明材料，证明符合《中华人民共和国政府采购法》规定的供应商基本资格条件。</w:t>
      </w:r>
    </w:p>
    <w:p w14:paraId="217477D1">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我方对以上承诺负全部法律责任。</w:t>
      </w:r>
    </w:p>
    <w:p w14:paraId="10285161">
      <w:pPr>
        <w:tabs>
          <w:tab w:val="left" w:pos="6300"/>
        </w:tabs>
        <w:snapToGrid w:val="0"/>
        <w:spacing w:line="5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特此承诺。</w:t>
      </w:r>
    </w:p>
    <w:p w14:paraId="3B335A12">
      <w:pPr>
        <w:tabs>
          <w:tab w:val="left" w:pos="6300"/>
        </w:tabs>
        <w:snapToGrid w:val="0"/>
        <w:spacing w:line="500" w:lineRule="exact"/>
        <w:ind w:firstLine="480" w:firstLineChars="200"/>
        <w:rPr>
          <w:rFonts w:hint="eastAsia" w:ascii="黑体" w:hAnsi="黑体" w:eastAsia="黑体" w:cs="黑体"/>
          <w:sz w:val="24"/>
          <w:szCs w:val="24"/>
        </w:rPr>
      </w:pPr>
    </w:p>
    <w:p w14:paraId="5FCD254B">
      <w:pPr>
        <w:tabs>
          <w:tab w:val="left" w:pos="6300"/>
        </w:tabs>
        <w:snapToGrid w:val="0"/>
        <w:spacing w:line="500" w:lineRule="exact"/>
        <w:ind w:firstLine="480" w:firstLineChars="200"/>
        <w:jc w:val="right"/>
        <w:rPr>
          <w:rFonts w:hint="eastAsia" w:ascii="黑体" w:hAnsi="黑体" w:eastAsia="黑体" w:cs="黑体"/>
          <w:sz w:val="24"/>
          <w:szCs w:val="24"/>
        </w:rPr>
      </w:pPr>
      <w:r>
        <w:rPr>
          <w:rFonts w:hint="eastAsia" w:ascii="黑体" w:hAnsi="黑体" w:eastAsia="黑体" w:cs="黑体"/>
          <w:sz w:val="24"/>
          <w:szCs w:val="24"/>
        </w:rPr>
        <w:t>（供应商公章）</w:t>
      </w:r>
    </w:p>
    <w:p w14:paraId="0D050EAC">
      <w:pPr>
        <w:widowControl/>
        <w:spacing w:line="400" w:lineRule="exact"/>
        <w:jc w:val="right"/>
        <w:rPr>
          <w:rFonts w:hint="eastAsia" w:ascii="黑体" w:hAnsi="黑体" w:eastAsia="黑体" w:cs="黑体"/>
          <w:sz w:val="24"/>
          <w:szCs w:val="24"/>
        </w:rPr>
      </w:pPr>
      <w:r>
        <w:rPr>
          <w:rFonts w:hint="eastAsia" w:ascii="黑体" w:hAnsi="黑体" w:eastAsia="黑体" w:cs="黑体"/>
          <w:sz w:val="24"/>
          <w:szCs w:val="24"/>
        </w:rPr>
        <w:t>年   月   日</w:t>
      </w:r>
    </w:p>
    <w:p w14:paraId="065847AC">
      <w:pPr>
        <w:widowControl/>
        <w:spacing w:line="400" w:lineRule="exact"/>
        <w:jc w:val="both"/>
        <w:rPr>
          <w:rFonts w:hint="eastAsia" w:ascii="黑体" w:hAnsi="黑体" w:eastAsia="黑体" w:cs="黑体"/>
          <w:sz w:val="24"/>
          <w:szCs w:val="24"/>
          <w:lang w:eastAsia="zh-CN"/>
        </w:rPr>
      </w:pPr>
    </w:p>
    <w:p w14:paraId="36EE30DF">
      <w:pPr>
        <w:widowControl/>
        <w:spacing w:line="400" w:lineRule="exact"/>
        <w:jc w:val="both"/>
        <w:rPr>
          <w:rFonts w:hint="eastAsia" w:ascii="黑体" w:hAnsi="黑体" w:eastAsia="黑体" w:cs="黑体"/>
          <w:sz w:val="24"/>
          <w:szCs w:val="24"/>
          <w:lang w:eastAsia="zh-CN"/>
        </w:rPr>
      </w:pPr>
    </w:p>
    <w:p w14:paraId="6C44F079">
      <w:pPr>
        <w:widowControl/>
        <w:spacing w:line="400" w:lineRule="exact"/>
        <w:ind w:firstLine="480" w:firstLineChars="200"/>
        <w:jc w:val="both"/>
        <w:rPr>
          <w:rFonts w:hint="eastAsia" w:ascii="黑体" w:hAnsi="黑体" w:eastAsia="黑体" w:cs="黑体"/>
          <w:sz w:val="24"/>
          <w:szCs w:val="24"/>
          <w:lang w:val="en-US"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五）</w:t>
      </w:r>
      <w:r>
        <w:rPr>
          <w:rFonts w:hint="eastAsia" w:ascii="黑体" w:hAnsi="黑体" w:eastAsia="黑体" w:cs="黑体"/>
          <w:sz w:val="24"/>
          <w:szCs w:val="24"/>
        </w:rPr>
        <w:t>特定资格条件证书或证明文件</w:t>
      </w:r>
    </w:p>
    <w:p w14:paraId="675367C2">
      <w:pPr>
        <w:widowControl/>
        <w:spacing w:line="400" w:lineRule="exact"/>
        <w:ind w:firstLine="480" w:firstLineChars="200"/>
        <w:jc w:val="left"/>
        <w:rPr>
          <w:rFonts w:hint="eastAsia" w:ascii="黑体" w:hAnsi="黑体" w:eastAsia="黑体" w:cs="黑体"/>
          <w:sz w:val="24"/>
          <w:szCs w:val="24"/>
        </w:rPr>
      </w:pPr>
      <w:r>
        <w:rPr>
          <w:rFonts w:hint="eastAsia" w:ascii="黑体" w:hAnsi="黑体" w:eastAsia="黑体" w:cs="黑体"/>
          <w:sz w:val="24"/>
          <w:szCs w:val="24"/>
        </w:rPr>
        <w:br w:type="page"/>
      </w:r>
    </w:p>
    <w:p w14:paraId="706C00C5">
      <w:pPr>
        <w:pStyle w:val="3"/>
        <w:adjustRightInd w:val="0"/>
        <w:snapToGrid w:val="0"/>
        <w:spacing w:before="0" w:after="0" w:line="400" w:lineRule="exact"/>
        <w:ind w:firstLine="482" w:firstLineChars="200"/>
        <w:rPr>
          <w:rFonts w:hint="eastAsia" w:ascii="黑体" w:hAnsi="黑体" w:eastAsia="黑体" w:cs="黑体"/>
          <w:sz w:val="24"/>
          <w:szCs w:val="24"/>
        </w:rPr>
      </w:pPr>
      <w:bookmarkStart w:id="202" w:name="_Toc65660383"/>
      <w:bookmarkStart w:id="203" w:name="_Toc106034812"/>
      <w:bookmarkStart w:id="204" w:name="_Toc17010"/>
      <w:bookmarkStart w:id="205" w:name="_Toc15815"/>
      <w:bookmarkStart w:id="206" w:name="_Toc2080"/>
      <w:r>
        <w:rPr>
          <w:rFonts w:hint="eastAsia" w:ascii="黑体" w:hAnsi="黑体" w:eastAsia="黑体" w:cs="黑体"/>
          <w:sz w:val="24"/>
          <w:szCs w:val="24"/>
        </w:rPr>
        <w:t>五、其他资料</w:t>
      </w:r>
      <w:bookmarkEnd w:id="202"/>
      <w:bookmarkEnd w:id="203"/>
      <w:bookmarkEnd w:id="204"/>
      <w:bookmarkEnd w:id="205"/>
      <w:bookmarkEnd w:id="206"/>
    </w:p>
    <w:p w14:paraId="782B54C1">
      <w:pPr>
        <w:widowControl/>
        <w:spacing w:line="400" w:lineRule="exact"/>
        <w:jc w:val="center"/>
        <w:rPr>
          <w:rFonts w:hint="eastAsia" w:ascii="黑体" w:hAnsi="黑体" w:eastAsia="黑体" w:cs="黑体"/>
          <w:sz w:val="24"/>
          <w:szCs w:val="24"/>
        </w:rPr>
      </w:pPr>
      <w:r>
        <w:rPr>
          <w:rFonts w:hint="eastAsia" w:ascii="黑体" w:hAnsi="黑体" w:eastAsia="黑体" w:cs="黑体"/>
          <w:sz w:val="24"/>
          <w:szCs w:val="24"/>
        </w:rPr>
        <w:t>（一）中小企业声明函、监狱企业证明文件、残疾人福利性单位声明函</w:t>
      </w:r>
    </w:p>
    <w:p w14:paraId="2E7775DA">
      <w:pPr>
        <w:tabs>
          <w:tab w:val="left" w:pos="6300"/>
        </w:tabs>
        <w:snapToGrid w:val="0"/>
        <w:spacing w:line="500" w:lineRule="exact"/>
        <w:ind w:firstLine="480" w:firstLineChars="200"/>
        <w:jc w:val="center"/>
        <w:rPr>
          <w:rFonts w:hint="eastAsia" w:ascii="黑体" w:hAnsi="黑体" w:eastAsia="黑体" w:cs="黑体"/>
          <w:color w:val="auto"/>
          <w:sz w:val="24"/>
          <w:szCs w:val="24"/>
        </w:rPr>
      </w:pPr>
      <w:r>
        <w:rPr>
          <w:rFonts w:hint="eastAsia" w:ascii="黑体" w:hAnsi="黑体" w:eastAsia="黑体" w:cs="黑体"/>
          <w:color w:val="auto"/>
          <w:sz w:val="24"/>
          <w:szCs w:val="24"/>
        </w:rPr>
        <w:t>中小企业声明函</w:t>
      </w:r>
    </w:p>
    <w:p w14:paraId="1274E948">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本公司（联合体）郑重声明，根据《政府采购促进中小企业发展管理办法》（财库〔2020〕46号）的规定，本公司（联合体）参加</w:t>
      </w:r>
      <w:r>
        <w:rPr>
          <w:rFonts w:hint="eastAsia" w:ascii="黑体" w:hAnsi="黑体" w:eastAsia="黑体" w:cs="黑体"/>
          <w:i/>
          <w:color w:val="auto"/>
          <w:sz w:val="24"/>
          <w:szCs w:val="24"/>
          <w:u w:val="single"/>
        </w:rPr>
        <w:t>（单位名称）</w:t>
      </w:r>
      <w:r>
        <w:rPr>
          <w:rFonts w:hint="eastAsia" w:ascii="黑体" w:hAnsi="黑体" w:eastAsia="黑体" w:cs="黑体"/>
          <w:color w:val="auto"/>
          <w:sz w:val="24"/>
          <w:szCs w:val="24"/>
        </w:rPr>
        <w:t>的</w:t>
      </w:r>
      <w:r>
        <w:rPr>
          <w:rFonts w:hint="eastAsia" w:ascii="黑体" w:hAnsi="黑体" w:eastAsia="黑体" w:cs="黑体"/>
          <w:i/>
          <w:color w:val="auto"/>
          <w:sz w:val="24"/>
          <w:szCs w:val="24"/>
          <w:u w:val="single"/>
        </w:rPr>
        <w:t>（项目名称）</w:t>
      </w:r>
      <w:r>
        <w:rPr>
          <w:rFonts w:hint="eastAsia" w:ascii="黑体" w:hAnsi="黑体" w:eastAsia="黑体" w:cs="黑体"/>
          <w:color w:val="auto"/>
          <w:sz w:val="24"/>
          <w:szCs w:val="24"/>
        </w:rPr>
        <w:t>采购活动，服务全部由符合政策要求的中小企业承接。相关企业（含联合体中的中小企业、签订分包意向协议的中小企业）的具体情况如下：</w:t>
      </w:r>
    </w:p>
    <w:p w14:paraId="480BB026">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1.</w:t>
      </w:r>
      <w:r>
        <w:rPr>
          <w:rFonts w:hint="eastAsia" w:ascii="黑体" w:hAnsi="黑体" w:eastAsia="黑体" w:cs="黑体"/>
          <w:i/>
          <w:color w:val="auto"/>
          <w:sz w:val="24"/>
          <w:szCs w:val="24"/>
          <w:u w:val="single"/>
        </w:rPr>
        <w:t>（标的名称）</w:t>
      </w:r>
      <w:r>
        <w:rPr>
          <w:rFonts w:hint="eastAsia" w:ascii="黑体" w:hAnsi="黑体" w:eastAsia="黑体" w:cs="黑体"/>
          <w:color w:val="auto"/>
          <w:sz w:val="24"/>
          <w:szCs w:val="24"/>
        </w:rPr>
        <w:t>，属于</w:t>
      </w:r>
      <w:r>
        <w:rPr>
          <w:rFonts w:hint="eastAsia" w:ascii="黑体" w:hAnsi="黑体" w:eastAsia="黑体" w:cs="黑体"/>
          <w:i/>
          <w:color w:val="auto"/>
          <w:sz w:val="24"/>
          <w:szCs w:val="24"/>
          <w:u w:val="single"/>
        </w:rPr>
        <w:t>（采购文件中明确的所属行业）</w:t>
      </w:r>
      <w:r>
        <w:rPr>
          <w:rFonts w:hint="eastAsia" w:ascii="黑体" w:hAnsi="黑体" w:eastAsia="黑体" w:cs="黑体"/>
          <w:color w:val="auto"/>
          <w:sz w:val="24"/>
          <w:szCs w:val="24"/>
        </w:rPr>
        <w:t>；承接企业为</w:t>
      </w:r>
      <w:r>
        <w:rPr>
          <w:rFonts w:hint="eastAsia" w:ascii="黑体" w:hAnsi="黑体" w:eastAsia="黑体" w:cs="黑体"/>
          <w:i/>
          <w:color w:val="auto"/>
          <w:sz w:val="24"/>
          <w:szCs w:val="24"/>
          <w:u w:val="single"/>
        </w:rPr>
        <w:t>（企业名称）</w:t>
      </w:r>
      <w:r>
        <w:rPr>
          <w:rFonts w:hint="eastAsia" w:ascii="黑体" w:hAnsi="黑体" w:eastAsia="黑体" w:cs="黑体"/>
          <w:color w:val="auto"/>
          <w:sz w:val="24"/>
          <w:szCs w:val="24"/>
        </w:rPr>
        <w:t>，从业人员</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人，营业收入为</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万元，资产总额为</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万元，属于</w:t>
      </w:r>
      <w:r>
        <w:rPr>
          <w:rFonts w:hint="eastAsia" w:ascii="黑体" w:hAnsi="黑体" w:eastAsia="黑体" w:cs="黑体"/>
          <w:i/>
          <w:color w:val="auto"/>
          <w:sz w:val="24"/>
          <w:szCs w:val="24"/>
          <w:u w:val="single"/>
        </w:rPr>
        <w:t>（中型企业、小型企业、微型企业）</w:t>
      </w:r>
      <w:r>
        <w:rPr>
          <w:rFonts w:hint="eastAsia" w:ascii="黑体" w:hAnsi="黑体" w:eastAsia="黑体" w:cs="黑体"/>
          <w:color w:val="auto"/>
          <w:sz w:val="24"/>
          <w:szCs w:val="24"/>
        </w:rPr>
        <w:t>；</w:t>
      </w:r>
    </w:p>
    <w:p w14:paraId="3D2EADB5">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为本标的提供的服务人员</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人，其中与本企业签订劳动合同</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人，其他人员</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人。有其他人员的不符合中小企业扶持政策（适用于服务采购项目）;</w:t>
      </w:r>
    </w:p>
    <w:p w14:paraId="61EE5EDF">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2.</w:t>
      </w:r>
      <w:r>
        <w:rPr>
          <w:rFonts w:hint="eastAsia" w:ascii="黑体" w:hAnsi="黑体" w:eastAsia="黑体" w:cs="黑体"/>
          <w:i/>
          <w:color w:val="auto"/>
          <w:sz w:val="24"/>
          <w:szCs w:val="24"/>
          <w:u w:val="single"/>
        </w:rPr>
        <w:t xml:space="preserve"> （标的名称）</w:t>
      </w:r>
      <w:r>
        <w:rPr>
          <w:rFonts w:hint="eastAsia" w:ascii="黑体" w:hAnsi="黑体" w:eastAsia="黑体" w:cs="黑体"/>
          <w:color w:val="auto"/>
          <w:sz w:val="24"/>
          <w:szCs w:val="24"/>
        </w:rPr>
        <w:t>，属于</w:t>
      </w:r>
      <w:r>
        <w:rPr>
          <w:rFonts w:hint="eastAsia" w:ascii="黑体" w:hAnsi="黑体" w:eastAsia="黑体" w:cs="黑体"/>
          <w:i/>
          <w:color w:val="auto"/>
          <w:sz w:val="24"/>
          <w:szCs w:val="24"/>
          <w:u w:val="single"/>
        </w:rPr>
        <w:t>（采购文件中明确的所属行业）</w:t>
      </w:r>
      <w:r>
        <w:rPr>
          <w:rFonts w:hint="eastAsia" w:ascii="黑体" w:hAnsi="黑体" w:eastAsia="黑体" w:cs="黑体"/>
          <w:color w:val="auto"/>
          <w:sz w:val="24"/>
          <w:szCs w:val="24"/>
        </w:rPr>
        <w:t>；承接企业为</w:t>
      </w:r>
      <w:r>
        <w:rPr>
          <w:rFonts w:hint="eastAsia" w:ascii="黑体" w:hAnsi="黑体" w:eastAsia="黑体" w:cs="黑体"/>
          <w:i/>
          <w:color w:val="auto"/>
          <w:sz w:val="24"/>
          <w:szCs w:val="24"/>
          <w:u w:val="single"/>
        </w:rPr>
        <w:t>（企业名称）</w:t>
      </w:r>
      <w:r>
        <w:rPr>
          <w:rFonts w:hint="eastAsia" w:ascii="黑体" w:hAnsi="黑体" w:eastAsia="黑体" w:cs="黑体"/>
          <w:color w:val="auto"/>
          <w:sz w:val="24"/>
          <w:szCs w:val="24"/>
        </w:rPr>
        <w:t>，从业人员</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人，营业收入为</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万元，资产总额为</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万元，属于</w:t>
      </w:r>
      <w:r>
        <w:rPr>
          <w:rFonts w:hint="eastAsia" w:ascii="黑体" w:hAnsi="黑体" w:eastAsia="黑体" w:cs="黑体"/>
          <w:i/>
          <w:color w:val="auto"/>
          <w:sz w:val="24"/>
          <w:szCs w:val="24"/>
          <w:u w:val="single"/>
        </w:rPr>
        <w:t>（中型企业、小型企业、微型企业）</w:t>
      </w:r>
      <w:r>
        <w:rPr>
          <w:rFonts w:hint="eastAsia" w:ascii="黑体" w:hAnsi="黑体" w:eastAsia="黑体" w:cs="黑体"/>
          <w:color w:val="auto"/>
          <w:sz w:val="24"/>
          <w:szCs w:val="24"/>
        </w:rPr>
        <w:t>；</w:t>
      </w:r>
    </w:p>
    <w:p w14:paraId="1765CEB2">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为本标的提供的服务人员</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人，其中与本企业签订劳动合同</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人，其他人员</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人。有其他人员的不符合中小企业扶持政策（适用于服务采购项目）;</w:t>
      </w:r>
    </w:p>
    <w:p w14:paraId="4C245575">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w:t>
      </w:r>
    </w:p>
    <w:p w14:paraId="55C8C383">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以上企业，不属于大企业的分支机构，不存在控股股东为大企业的情形，也不存在与大企业的负责人为同一人的情形。</w:t>
      </w:r>
    </w:p>
    <w:p w14:paraId="38C7CF2C">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本企业对上述声明内容的真实性负责。如有虚假，将依法承担相应责任。</w:t>
      </w:r>
    </w:p>
    <w:p w14:paraId="3638B476">
      <w:pPr>
        <w:tabs>
          <w:tab w:val="left" w:pos="6300"/>
        </w:tabs>
        <w:snapToGrid w:val="0"/>
        <w:spacing w:line="500" w:lineRule="exact"/>
        <w:ind w:firstLine="480" w:firstLineChars="200"/>
        <w:rPr>
          <w:rFonts w:hint="eastAsia" w:ascii="黑体" w:hAnsi="黑体" w:eastAsia="黑体" w:cs="黑体"/>
          <w:color w:val="auto"/>
          <w:sz w:val="24"/>
          <w:szCs w:val="24"/>
        </w:rPr>
      </w:pPr>
      <w:r>
        <w:rPr>
          <w:rFonts w:hint="eastAsia" w:ascii="黑体" w:hAnsi="黑体" w:eastAsia="黑体" w:cs="黑体"/>
          <w:color w:val="auto"/>
          <w:sz w:val="24"/>
          <w:szCs w:val="24"/>
        </w:rPr>
        <w:t xml:space="preserve">                                                    </w:t>
      </w:r>
    </w:p>
    <w:p w14:paraId="1EEC553F">
      <w:pPr>
        <w:tabs>
          <w:tab w:val="left" w:pos="6300"/>
        </w:tabs>
        <w:snapToGrid w:val="0"/>
        <w:spacing w:line="500" w:lineRule="exact"/>
        <w:ind w:firstLine="6120" w:firstLineChars="2550"/>
        <w:rPr>
          <w:rFonts w:hint="eastAsia" w:ascii="黑体" w:hAnsi="黑体" w:eastAsia="黑体" w:cs="黑体"/>
          <w:color w:val="auto"/>
          <w:sz w:val="24"/>
          <w:szCs w:val="24"/>
        </w:rPr>
      </w:pPr>
      <w:r>
        <w:rPr>
          <w:rFonts w:hint="eastAsia" w:ascii="黑体" w:hAnsi="黑体" w:eastAsia="黑体" w:cs="黑体"/>
          <w:color w:val="auto"/>
          <w:sz w:val="24"/>
          <w:szCs w:val="24"/>
        </w:rPr>
        <w:t xml:space="preserve">企业名称（盖章）： </w:t>
      </w:r>
    </w:p>
    <w:p w14:paraId="0F801709">
      <w:pPr>
        <w:tabs>
          <w:tab w:val="left" w:pos="6300"/>
        </w:tabs>
        <w:snapToGrid w:val="0"/>
        <w:spacing w:line="500" w:lineRule="exact"/>
        <w:ind w:right="784" w:firstLine="6120" w:firstLineChars="2550"/>
        <w:rPr>
          <w:rFonts w:hint="eastAsia" w:ascii="黑体" w:hAnsi="黑体" w:eastAsia="黑体" w:cs="黑体"/>
          <w:color w:val="auto"/>
          <w:sz w:val="24"/>
          <w:szCs w:val="24"/>
        </w:rPr>
      </w:pPr>
      <w:r>
        <w:rPr>
          <w:rFonts w:hint="eastAsia" w:ascii="黑体" w:hAnsi="黑体" w:eastAsia="黑体" w:cs="黑体"/>
          <w:color w:val="auto"/>
          <w:sz w:val="24"/>
          <w:szCs w:val="24"/>
        </w:rPr>
        <w:t>日期：</w:t>
      </w:r>
    </w:p>
    <w:p w14:paraId="405AF019">
      <w:pPr>
        <w:tabs>
          <w:tab w:val="left" w:pos="6300"/>
        </w:tabs>
        <w:snapToGrid w:val="0"/>
        <w:rPr>
          <w:rFonts w:hint="eastAsia" w:ascii="黑体" w:hAnsi="黑体" w:eastAsia="黑体" w:cs="黑体"/>
          <w:color w:val="auto"/>
          <w:kern w:val="0"/>
          <w:sz w:val="24"/>
          <w:szCs w:val="24"/>
        </w:rPr>
      </w:pPr>
    </w:p>
    <w:p w14:paraId="37E945A3">
      <w:pPr>
        <w:keepNext w:val="0"/>
        <w:keepLines w:val="0"/>
        <w:pageBreakBefore w:val="0"/>
        <w:widowControl w:val="0"/>
        <w:tabs>
          <w:tab w:val="left" w:pos="6300"/>
        </w:tabs>
        <w:kinsoku/>
        <w:wordWrap/>
        <w:overflowPunct/>
        <w:topLinePunct w:val="0"/>
        <w:autoSpaceDE/>
        <w:autoSpaceDN/>
        <w:bidi w:val="0"/>
        <w:adjustRightInd/>
        <w:snapToGrid w:val="0"/>
        <w:spacing w:line="240" w:lineRule="exact"/>
        <w:textAlignment w:val="auto"/>
        <w:rPr>
          <w:rFonts w:hint="eastAsia" w:ascii="黑体" w:hAnsi="黑体" w:eastAsia="黑体" w:cs="黑体"/>
          <w:color w:val="auto"/>
          <w:kern w:val="0"/>
          <w:sz w:val="21"/>
          <w:szCs w:val="21"/>
        </w:rPr>
      </w:pPr>
    </w:p>
    <w:p w14:paraId="1C15D310">
      <w:pPr>
        <w:keepNext w:val="0"/>
        <w:keepLines w:val="0"/>
        <w:pageBreakBefore w:val="0"/>
        <w:widowControl w:val="0"/>
        <w:tabs>
          <w:tab w:val="left" w:pos="6300"/>
        </w:tabs>
        <w:kinsoku/>
        <w:wordWrap/>
        <w:overflowPunct/>
        <w:topLinePunct w:val="0"/>
        <w:autoSpaceDE/>
        <w:autoSpaceDN/>
        <w:bidi w:val="0"/>
        <w:adjustRightInd/>
        <w:snapToGrid w:val="0"/>
        <w:spacing w:line="240" w:lineRule="exact"/>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填写时应注意以下事项：</w:t>
      </w:r>
    </w:p>
    <w:p w14:paraId="6D82A08D">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1.从业人员、营业收入、资产总额填报上一年度数据，无上一年度数据的新成立企业可不填报。</w:t>
      </w:r>
    </w:p>
    <w:p w14:paraId="3EBE3033">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2" w:firstLineChars="200"/>
        <w:textAlignment w:val="auto"/>
        <w:rPr>
          <w:rFonts w:hint="eastAsia" w:ascii="黑体" w:hAnsi="黑体" w:eastAsia="黑体" w:cs="黑体"/>
          <w:b/>
          <w:color w:val="auto"/>
          <w:kern w:val="0"/>
          <w:sz w:val="21"/>
          <w:szCs w:val="21"/>
        </w:rPr>
      </w:pPr>
      <w:r>
        <w:rPr>
          <w:rFonts w:hint="eastAsia" w:ascii="黑体" w:hAnsi="黑体" w:eastAsia="黑体" w:cs="黑体"/>
          <w:b/>
          <w:color w:val="auto"/>
          <w:kern w:val="0"/>
          <w:sz w:val="21"/>
          <w:szCs w:val="21"/>
        </w:rPr>
        <w:t>2.中小企业应当按照《中小企业划型标准规定》（工信部联企业〔2011〕300号），如实填写并提交《中小企业声明函》。</w:t>
      </w:r>
    </w:p>
    <w:p w14:paraId="6F314BAC">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2" w:firstLineChars="200"/>
        <w:textAlignment w:val="auto"/>
        <w:rPr>
          <w:rFonts w:hint="eastAsia" w:ascii="黑体" w:hAnsi="黑体" w:eastAsia="黑体" w:cs="黑体"/>
          <w:b/>
          <w:color w:val="auto"/>
          <w:kern w:val="0"/>
          <w:sz w:val="21"/>
          <w:szCs w:val="21"/>
        </w:rPr>
      </w:pPr>
      <w:r>
        <w:rPr>
          <w:rFonts w:hint="eastAsia" w:ascii="黑体" w:hAnsi="黑体" w:eastAsia="黑体" w:cs="黑体"/>
          <w:b/>
          <w:color w:val="auto"/>
          <w:kern w:val="0"/>
          <w:sz w:val="21"/>
          <w:szCs w:val="21"/>
        </w:rPr>
        <w:t>3.供应商填写《中小企业声明函》中所属行业时，应与采购文件第一篇“采购标的对应的中小企业划分标准所属行业”中填写的所属行业一致。</w:t>
      </w:r>
    </w:p>
    <w:p w14:paraId="6098EFD1">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2" w:firstLineChars="200"/>
        <w:textAlignment w:val="auto"/>
        <w:rPr>
          <w:rFonts w:hint="eastAsia" w:ascii="黑体" w:hAnsi="黑体" w:eastAsia="黑体" w:cs="黑体"/>
          <w:b/>
          <w:color w:val="auto"/>
          <w:kern w:val="0"/>
          <w:sz w:val="21"/>
          <w:szCs w:val="21"/>
        </w:rPr>
      </w:pPr>
      <w:r>
        <w:rPr>
          <w:rFonts w:hint="eastAsia" w:ascii="黑体" w:hAnsi="黑体" w:eastAsia="黑体" w:cs="黑体"/>
          <w:b/>
          <w:color w:val="auto"/>
          <w:kern w:val="0"/>
          <w:sz w:val="21"/>
          <w:szCs w:val="21"/>
        </w:rPr>
        <w:t>4.本声明函“企业名称（盖章）”处为供应商盖章。</w:t>
      </w:r>
    </w:p>
    <w:p w14:paraId="3D663556">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注：各行业划型标准：</w:t>
      </w:r>
    </w:p>
    <w:p w14:paraId="11FD351E">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40DA62D6">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E24636">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289CAE">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088C3D">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8B9DB2">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F3B78DC">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D493DC0">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F18C9A">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123AC7A">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E7E2A2">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A4B9A5D">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F55D07">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8240F5A">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024679">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textAlignment w:val="auto"/>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9CA7ED">
      <w:pPr>
        <w:keepNext w:val="0"/>
        <w:keepLines w:val="0"/>
        <w:pageBreakBefore w:val="0"/>
        <w:widowControl w:val="0"/>
        <w:tabs>
          <w:tab w:val="left" w:pos="6300"/>
        </w:tabs>
        <w:kinsoku/>
        <w:wordWrap/>
        <w:overflowPunct/>
        <w:topLinePunct w:val="0"/>
        <w:autoSpaceDE/>
        <w:autoSpaceDN/>
        <w:bidi w:val="0"/>
        <w:adjustRightInd/>
        <w:snapToGrid w:val="0"/>
        <w:spacing w:line="240" w:lineRule="exact"/>
        <w:ind w:firstLine="420" w:firstLineChars="200"/>
        <w:jc w:val="center"/>
        <w:textAlignment w:val="auto"/>
        <w:rPr>
          <w:rFonts w:hint="eastAsia" w:ascii="黑体" w:hAnsi="黑体" w:eastAsia="黑体" w:cs="黑体"/>
          <w:b/>
          <w:bCs/>
          <w:color w:val="auto"/>
          <w:sz w:val="24"/>
          <w:szCs w:val="24"/>
          <w:highlight w:val="none"/>
        </w:rPr>
      </w:pPr>
      <w:r>
        <w:rPr>
          <w:rFonts w:hint="eastAsia" w:ascii="黑体" w:hAnsi="黑体" w:eastAsia="黑体" w:cs="黑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ascii="黑体" w:hAnsi="黑体" w:eastAsia="黑体" w:cs="黑体"/>
          <w:color w:val="auto"/>
          <w:sz w:val="21"/>
          <w:szCs w:val="21"/>
          <w:highlight w:val="none"/>
        </w:rPr>
        <w:br w:type="page"/>
      </w:r>
      <w:r>
        <w:rPr>
          <w:rFonts w:hint="eastAsia" w:ascii="黑体" w:hAnsi="黑体" w:eastAsia="黑体" w:cs="黑体"/>
          <w:b/>
          <w:bCs/>
          <w:color w:val="auto"/>
          <w:sz w:val="24"/>
          <w:szCs w:val="24"/>
          <w:highlight w:val="none"/>
        </w:rPr>
        <w:t>监狱企业证明文件</w:t>
      </w:r>
    </w:p>
    <w:p w14:paraId="58D4EDFF">
      <w:pPr>
        <w:tabs>
          <w:tab w:val="left" w:pos="6300"/>
        </w:tabs>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以省级以上监狱管理局、戒毒管理局（含新疆生产建设兵团）出具的属于监狱企业的证明文件为准。</w:t>
      </w:r>
    </w:p>
    <w:p w14:paraId="63E3E5E8">
      <w:pPr>
        <w:tabs>
          <w:tab w:val="left" w:pos="6300"/>
        </w:tabs>
        <w:snapToGrid w:val="0"/>
        <w:spacing w:line="500" w:lineRule="exact"/>
        <w:rPr>
          <w:rFonts w:hint="eastAsia" w:ascii="黑体" w:hAnsi="黑体" w:eastAsia="黑体" w:cs="黑体"/>
          <w:color w:val="auto"/>
          <w:sz w:val="24"/>
          <w:szCs w:val="24"/>
          <w:highlight w:val="none"/>
        </w:rPr>
      </w:pPr>
    </w:p>
    <w:p w14:paraId="6036E347">
      <w:pPr>
        <w:tabs>
          <w:tab w:val="left" w:pos="6300"/>
        </w:tabs>
        <w:snapToGrid w:val="0"/>
        <w:spacing w:line="500" w:lineRule="exact"/>
        <w:rPr>
          <w:rFonts w:hint="eastAsia" w:ascii="黑体" w:hAnsi="黑体" w:eastAsia="黑体" w:cs="黑体"/>
          <w:color w:val="auto"/>
          <w:sz w:val="24"/>
          <w:szCs w:val="24"/>
          <w:highlight w:val="none"/>
        </w:rPr>
      </w:pPr>
    </w:p>
    <w:p w14:paraId="0A8A5D17">
      <w:pPr>
        <w:tabs>
          <w:tab w:val="left" w:pos="6300"/>
        </w:tabs>
        <w:snapToGrid w:val="0"/>
        <w:spacing w:line="500" w:lineRule="exact"/>
        <w:jc w:val="center"/>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残疾人福利性单位声明函</w:t>
      </w:r>
    </w:p>
    <w:p w14:paraId="78E2F8C0">
      <w:pPr>
        <w:tabs>
          <w:tab w:val="left" w:pos="6300"/>
        </w:tabs>
        <w:snapToGrid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3343FD">
      <w:pPr>
        <w:tabs>
          <w:tab w:val="left" w:pos="6300"/>
        </w:tabs>
        <w:snapToGrid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本单位对上述声明的真实性负责。如有虚假，将依法承担相应责任。</w:t>
      </w:r>
    </w:p>
    <w:p w14:paraId="1B11BC52">
      <w:pPr>
        <w:tabs>
          <w:tab w:val="left" w:pos="6300"/>
        </w:tabs>
        <w:snapToGrid w:val="0"/>
        <w:spacing w:line="500" w:lineRule="exact"/>
        <w:ind w:firstLine="480" w:firstLineChars="200"/>
        <w:rPr>
          <w:rFonts w:hint="eastAsia" w:ascii="黑体" w:hAnsi="黑体" w:eastAsia="黑体" w:cs="黑体"/>
          <w:color w:val="auto"/>
          <w:sz w:val="24"/>
          <w:szCs w:val="24"/>
          <w:highlight w:val="none"/>
        </w:rPr>
      </w:pPr>
    </w:p>
    <w:p w14:paraId="02471134">
      <w:pPr>
        <w:tabs>
          <w:tab w:val="left" w:pos="6300"/>
        </w:tabs>
        <w:snapToGrid w:val="0"/>
        <w:spacing w:line="500" w:lineRule="exact"/>
        <w:ind w:firstLine="480" w:firstLineChars="200"/>
        <w:rPr>
          <w:rFonts w:hint="eastAsia" w:ascii="黑体" w:hAnsi="黑体" w:eastAsia="黑体" w:cs="黑体"/>
          <w:color w:val="auto"/>
          <w:sz w:val="24"/>
          <w:szCs w:val="24"/>
          <w:highlight w:val="none"/>
        </w:rPr>
      </w:pPr>
    </w:p>
    <w:p w14:paraId="3596B043">
      <w:pPr>
        <w:tabs>
          <w:tab w:val="left" w:pos="6300"/>
        </w:tabs>
        <w:snapToGrid w:val="0"/>
        <w:spacing w:line="5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供应商名称（盖章）：</w:t>
      </w:r>
    </w:p>
    <w:p w14:paraId="41093E7E">
      <w:pPr>
        <w:snapToGrid w:val="0"/>
        <w:spacing w:line="44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 xml:space="preserve">                                                  日  期：</w:t>
      </w:r>
    </w:p>
    <w:p w14:paraId="18C4E49C">
      <w:pPr>
        <w:snapToGrid w:val="0"/>
        <w:spacing w:line="440" w:lineRule="exact"/>
        <w:ind w:firstLine="480" w:firstLineChars="200"/>
        <w:rPr>
          <w:rFonts w:hint="eastAsia" w:ascii="黑体" w:hAnsi="黑体" w:eastAsia="黑体" w:cs="黑体"/>
          <w:color w:val="auto"/>
          <w:sz w:val="24"/>
          <w:szCs w:val="24"/>
          <w:highlight w:val="none"/>
        </w:rPr>
      </w:pPr>
    </w:p>
    <w:p w14:paraId="43600EB8">
      <w:pPr>
        <w:snapToGrid w:val="0"/>
        <w:spacing w:line="44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rPr>
        <w:t>若成交供应商为残疾人福利性单位的，将在结果公告时公告其《残疾人福利性单位声明函》。</w:t>
      </w:r>
    </w:p>
    <w:p w14:paraId="46C184EA">
      <w:pPr>
        <w:pStyle w:val="4"/>
        <w:rPr>
          <w:rFonts w:hint="eastAsia" w:ascii="黑体" w:hAnsi="黑体" w:eastAsia="黑体" w:cs="黑体"/>
          <w:color w:val="auto"/>
          <w:sz w:val="24"/>
          <w:szCs w:val="24"/>
          <w:highlight w:val="none"/>
        </w:rPr>
      </w:pPr>
    </w:p>
    <w:p w14:paraId="5FD7A873">
      <w:pPr>
        <w:snapToGrid w:val="0"/>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val="en-US" w:eastAsia="zh-CN"/>
        </w:rPr>
        <w:t>二</w:t>
      </w:r>
      <w:r>
        <w:rPr>
          <w:rFonts w:hint="eastAsia" w:ascii="黑体" w:hAnsi="黑体" w:eastAsia="黑体" w:cs="黑体"/>
          <w:color w:val="auto"/>
          <w:sz w:val="24"/>
          <w:szCs w:val="24"/>
          <w:highlight w:val="none"/>
        </w:rPr>
        <w:t>）其他与项目有关的资料</w:t>
      </w:r>
    </w:p>
    <w:p w14:paraId="6067BA64">
      <w:pPr>
        <w:spacing w:line="400" w:lineRule="exact"/>
        <w:ind w:firstLine="480" w:firstLineChars="200"/>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其他与项目有关的资料（自附）：供应商总体情况介绍、其他与本项目有关的资料等。</w:t>
      </w:r>
    </w:p>
    <w:p w14:paraId="30C174CD">
      <w:pPr>
        <w:pStyle w:val="4"/>
        <w:jc w:val="center"/>
        <w:rPr>
          <w:rFonts w:hint="eastAsia" w:ascii="黑体" w:hAnsi="黑体" w:eastAsia="黑体" w:cs="黑体"/>
          <w:color w:val="auto"/>
          <w:sz w:val="24"/>
          <w:szCs w:val="24"/>
          <w:highlight w:val="none"/>
        </w:rPr>
      </w:pPr>
    </w:p>
    <w:p w14:paraId="05C5A889">
      <w:pPr>
        <w:pStyle w:val="4"/>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（结</w:t>
      </w:r>
      <w:r>
        <w:rPr>
          <w:rFonts w:hint="eastAsia" w:ascii="黑体" w:hAnsi="黑体" w:eastAsia="黑体" w:cs="黑体"/>
          <w:color w:val="auto"/>
          <w:sz w:val="28"/>
          <w:szCs w:val="28"/>
          <w:highlight w:val="none"/>
          <w:lang w:val="en-US" w:eastAsia="zh-CN"/>
        </w:rPr>
        <w:t>束）</w:t>
      </w:r>
    </w:p>
    <w:p w14:paraId="10F9D4E5">
      <w:pPr>
        <w:widowControl/>
        <w:spacing w:line="400" w:lineRule="exact"/>
        <w:jc w:val="left"/>
        <w:rPr>
          <w:rFonts w:ascii="仿宋" w:hAnsi="仿宋" w:eastAsia="仿宋" w:cs="仿宋"/>
          <w:b/>
          <w:bCs/>
          <w:color w:val="000000"/>
          <w:szCs w:val="28"/>
        </w:rPr>
      </w:pPr>
    </w:p>
    <w:sectPr>
      <w:headerReference r:id="rId18" w:type="default"/>
      <w:footerReference r:id="rId19" w:type="default"/>
      <w:pgSz w:w="11907" w:h="16840"/>
      <w:pgMar w:top="1418" w:right="1418" w:bottom="1418" w:left="1418" w:header="680" w:footer="992" w:gutter="0"/>
      <w:pgNumType w:fmt="numberInDash"/>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1C5438-ABC0-47C2-AF45-4914B8B351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粗黑">
    <w:altName w:val="黑体"/>
    <w:panose1 w:val="00000000000000000000"/>
    <w:charset w:val="86"/>
    <w:family w:val="modern"/>
    <w:pitch w:val="default"/>
    <w:sig w:usb0="00000000" w:usb1="00000000" w:usb2="00000010" w:usb3="00000000" w:csb0="00040000" w:csb1="00000000"/>
    <w:embedRegular r:id="rId2" w:fontKey="{D6CCB34A-7A09-4C98-9289-5E12E3A7663D}"/>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Math">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376167C-7938-44FC-A454-4110C3E7E8B5}"/>
  </w:font>
  <w:font w:name="Segoe UI">
    <w:panose1 w:val="020B0502040204020203"/>
    <w:charset w:val="00"/>
    <w:family w:val="auto"/>
    <w:pitch w:val="default"/>
    <w:sig w:usb0="E4002EFF" w:usb1="C000E47F" w:usb2="00000009" w:usb3="00000000" w:csb0="200001FF" w:csb1="00000000"/>
    <w:embedRegular r:id="rId4" w:fontKey="{82514773-7ABB-4DCC-B198-D1225B7ACC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6D64">
    <w:pPr>
      <w:pStyle w:val="36"/>
      <w:jc w:val="both"/>
      <w:rPr>
        <w:rFonts w:ascii="仿宋" w:hAnsi="仿宋" w:eastAsia="仿宋" w:cs="仿宋"/>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55E6">
    <w:pPr>
      <w:pStyle w:val="36"/>
      <w:rPr>
        <w:rFonts w:hint="eastAsia"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0A5DA">
                          <w:pPr>
                            <w:pStyle w:val="3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DC0A5DA">
                    <w:pPr>
                      <w:pStyle w:val="3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07458">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2E646">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5157">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C1E9E">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CC1E9E">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19CD">
    <w:pPr>
      <w:pStyle w:val="36"/>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ABADE">
                          <w:pPr>
                            <w:pStyle w:val="3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1FABADE">
                    <w:pPr>
                      <w:pStyle w:val="3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EA29">
    <w:pPr>
      <w:pStyle w:val="3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B800A">
                          <w:pPr>
                            <w:pStyle w:val="3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AB800A">
                    <w:pPr>
                      <w:pStyle w:val="3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AF0EF">
    <w:pPr>
      <w:pStyle w:val="36"/>
      <w:rPr>
        <w:rFonts w:hint="eastAsia"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E9969">
                          <w:pPr>
                            <w:pStyle w:val="3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47E9969">
                    <w:pPr>
                      <w:pStyle w:val="3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EB94">
    <w:pPr>
      <w:pStyle w:val="36"/>
      <w:framePr w:wrap="around" w:vAnchor="text" w:hAnchor="margin" w:xAlign="center" w:y="1"/>
      <w:rPr>
        <w:rStyle w:val="63"/>
      </w:rPr>
    </w:pPr>
    <w:r>
      <w:rPr>
        <w:rStyle w:val="63"/>
      </w:rPr>
      <w:fldChar w:fldCharType="begin"/>
    </w:r>
    <w:r>
      <w:rPr>
        <w:rStyle w:val="63"/>
      </w:rPr>
      <w:instrText xml:space="preserve">PAGE  </w:instrText>
    </w:r>
    <w:r>
      <w:fldChar w:fldCharType="separate"/>
    </w:r>
    <w:r>
      <w:fldChar w:fldCharType="end"/>
    </w:r>
  </w:p>
  <w:p w14:paraId="395D14BC">
    <w:pPr>
      <w:pStyle w:val="3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A31C">
    <w:pPr>
      <w:pStyle w:val="36"/>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3FBB8">
                          <w:pPr>
                            <w:pStyle w:val="3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223FBB8">
                    <w:pPr>
                      <w:pStyle w:val="3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2287">
    <w:pPr>
      <w:pStyle w:val="37"/>
      <w:pBdr>
        <w:bottom w:val="none" w:color="auto" w:sz="0" w:space="8"/>
      </w:pBdr>
      <w:jc w:val="both"/>
      <w:rPr>
        <w:rFonts w:ascii="仿宋" w:hAnsi="仿宋" w:eastAsia="仿宋" w:cs="仿宋"/>
      </w:rPr>
    </w:pPr>
    <w:r>
      <w:rPr>
        <w:rFonts w:hint="eastAsia" w:ascii="仿宋" w:hAnsi="仿宋" w:eastAsia="仿宋" w:cs="仿宋"/>
        <w:szCs w:val="18"/>
      </w:rPr>
      <w:t xml:space="preserve">                                                          </w:t>
    </w:r>
  </w:p>
  <w:p w14:paraId="566B9D69">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6B5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736B">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2950">
    <w:pPr>
      <w:pStyle w:val="37"/>
      <w:pBdr>
        <w:bottom w:val="none" w:color="auto" w:sz="0" w:space="8"/>
      </w:pBdr>
      <w:jc w:val="both"/>
    </w:pPr>
    <w:r>
      <w:rPr>
        <w:rFonts w:hint="eastAsia" w:ascii="仿宋" w:hAnsi="仿宋" w:eastAsia="仿宋" w:cs="仿宋"/>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D577">
    <w:pPr>
      <w:pStyle w:val="37"/>
      <w:pBdr>
        <w:bottom w:val="dotDotDash" w:color="auto" w:sz="4" w:space="1"/>
      </w:pBdr>
      <w:tabs>
        <w:tab w:val="left" w:pos="219"/>
        <w:tab w:val="right" w:pos="13601"/>
      </w:tabs>
      <w:jc w:val="both"/>
      <w:rPr>
        <w:rFonts w:ascii="仿宋" w:hAnsi="仿宋" w:eastAsia="仿宋" w:cs="仿宋"/>
      </w:rPr>
    </w:pPr>
    <w:r>
      <w:rPr>
        <w:rFonts w:hint="eastAsia" w:ascii="仿宋" w:hAnsi="仿宋" w:eastAsia="仿宋" w:cs="仿宋"/>
        <w:szCs w:val="18"/>
      </w:rPr>
      <w:drawing>
        <wp:inline distT="0" distB="0" distL="114300" distR="114300">
          <wp:extent cx="266700" cy="288290"/>
          <wp:effectExtent l="0" t="0" r="0" b="16510"/>
          <wp:docPr id="10" name="图片 2" descr="色值r255g5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色值r255g51b0"/>
                  <pic:cNvPicPr>
                    <a:picLocks noChangeAspect="1"/>
                  </pic:cNvPicPr>
                </pic:nvPicPr>
                <pic:blipFill>
                  <a:blip r:embed="rId1"/>
                  <a:stretch>
                    <a:fillRect/>
                  </a:stretch>
                </pic:blipFill>
                <pic:spPr>
                  <a:xfrm>
                    <a:off x="0" y="0"/>
                    <a:ext cx="266700" cy="288290"/>
                  </a:xfrm>
                  <a:prstGeom prst="rect">
                    <a:avLst/>
                  </a:prstGeom>
                  <a:noFill/>
                  <a:ln>
                    <a:noFill/>
                  </a:ln>
                </pic:spPr>
              </pic:pic>
            </a:graphicData>
          </a:graphic>
        </wp:inline>
      </w:drawing>
    </w:r>
    <w:r>
      <w:rPr>
        <w:rFonts w:hint="eastAsia" w:ascii="仿宋" w:hAnsi="仿宋" w:eastAsia="仿宋" w:cs="仿宋"/>
        <w:szCs w:val="18"/>
      </w:rPr>
      <w:tab/>
    </w:r>
    <w:r>
      <w:rPr>
        <w:rFonts w:hint="eastAsia" w:ascii="仿宋" w:hAnsi="仿宋" w:eastAsia="仿宋" w:cs="仿宋"/>
        <w:szCs w:val="18"/>
      </w:rPr>
      <w:tab/>
    </w:r>
    <w:r>
      <w:rPr>
        <w:rFonts w:hint="eastAsia" w:ascii="仿宋" w:hAnsi="仿宋" w:eastAsia="仿宋" w:cs="仿宋"/>
        <w:szCs w:val="18"/>
      </w:rPr>
      <w:t xml:space="preserve">                        </w:t>
    </w:r>
    <w:r>
      <w:rPr>
        <w:rFonts w:hint="eastAsia" w:ascii="仿宋" w:hAnsi="仿宋" w:eastAsia="仿宋" w:cs="仿宋"/>
        <w:szCs w:val="18"/>
        <w:lang w:val="en-US" w:eastAsia="zh-CN"/>
      </w:rPr>
      <w:t xml:space="preserve">                   </w:t>
    </w:r>
    <w:r>
      <w:rPr>
        <w:rFonts w:hint="eastAsia" w:ascii="仿宋" w:hAnsi="仿宋" w:eastAsia="仿宋" w:cs="仿宋"/>
        <w:szCs w:val="18"/>
        <w:lang w:eastAsia="zh-CN"/>
      </w:rPr>
      <w:t>询比文件</w:t>
    </w:r>
    <w:r>
      <w:rPr>
        <w:rFonts w:hint="eastAsia" w:ascii="仿宋" w:hAnsi="仿宋" w:eastAsia="仿宋" w:cs="仿宋"/>
        <w:szCs w:val="1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3CDB">
    <w:pPr>
      <w:pStyle w:val="37"/>
      <w:pBdr>
        <w:bottom w:val="dotDotDash" w:color="auto" w:sz="4" w:space="1"/>
      </w:pBdr>
      <w:tabs>
        <w:tab w:val="left" w:pos="219"/>
        <w:tab w:val="right" w:pos="13601"/>
      </w:tabs>
      <w:jc w:val="both"/>
      <w:rPr>
        <w:rFonts w:ascii="仿宋" w:hAnsi="仿宋" w:eastAsia="仿宋" w:cs="仿宋"/>
      </w:rPr>
    </w:pPr>
    <w:r>
      <w:rPr>
        <w:rFonts w:hint="eastAsia" w:ascii="仿宋" w:hAnsi="仿宋" w:eastAsia="仿宋" w:cs="仿宋"/>
        <w:szCs w:val="18"/>
      </w:rPr>
      <w:drawing>
        <wp:inline distT="0" distB="0" distL="114300" distR="114300">
          <wp:extent cx="266700" cy="288290"/>
          <wp:effectExtent l="0" t="0" r="0" b="16510"/>
          <wp:docPr id="11" name="图片 2" descr="色值r255g5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色值r255g51b0"/>
                  <pic:cNvPicPr>
                    <a:picLocks noChangeAspect="1"/>
                  </pic:cNvPicPr>
                </pic:nvPicPr>
                <pic:blipFill>
                  <a:blip r:embed="rId1"/>
                  <a:stretch>
                    <a:fillRect/>
                  </a:stretch>
                </pic:blipFill>
                <pic:spPr>
                  <a:xfrm>
                    <a:off x="0" y="0"/>
                    <a:ext cx="266700" cy="288290"/>
                  </a:xfrm>
                  <a:prstGeom prst="rect">
                    <a:avLst/>
                  </a:prstGeom>
                  <a:noFill/>
                  <a:ln>
                    <a:noFill/>
                  </a:ln>
                </pic:spPr>
              </pic:pic>
            </a:graphicData>
          </a:graphic>
        </wp:inline>
      </w:drawing>
    </w:r>
    <w:r>
      <w:rPr>
        <w:rFonts w:hint="eastAsia" w:ascii="仿宋" w:hAnsi="仿宋" w:eastAsia="仿宋" w:cs="仿宋"/>
        <w:szCs w:val="18"/>
      </w:rPr>
      <w:tab/>
    </w:r>
    <w:r>
      <w:rPr>
        <w:rFonts w:hint="eastAsia" w:ascii="仿宋" w:hAnsi="仿宋" w:eastAsia="仿宋" w:cs="仿宋"/>
        <w:szCs w:val="18"/>
      </w:rPr>
      <w:tab/>
    </w:r>
    <w:r>
      <w:rPr>
        <w:rFonts w:hint="eastAsia" w:ascii="仿宋" w:hAnsi="仿宋" w:eastAsia="仿宋" w:cs="仿宋"/>
        <w:szCs w:val="18"/>
      </w:rPr>
      <w:t xml:space="preserve">                       </w:t>
    </w:r>
    <w:r>
      <w:rPr>
        <w:rFonts w:hint="eastAsia" w:ascii="仿宋" w:hAnsi="仿宋" w:eastAsia="仿宋" w:cs="仿宋"/>
        <w:szCs w:val="18"/>
        <w:lang w:val="en-US" w:eastAsia="zh-CN"/>
      </w:rPr>
      <w:t xml:space="preserve">                       </w:t>
    </w:r>
    <w:r>
      <w:rPr>
        <w:rFonts w:hint="eastAsia" w:ascii="仿宋" w:hAnsi="仿宋" w:eastAsia="仿宋" w:cs="仿宋"/>
        <w:szCs w:val="18"/>
        <w:lang w:eastAsia="zh-CN"/>
      </w:rPr>
      <w:t>询比文件</w:t>
    </w:r>
    <w:r>
      <w:rPr>
        <w:rFonts w:hint="eastAsia" w:ascii="仿宋" w:hAnsi="仿宋" w:eastAsia="仿宋" w:cs="仿宋"/>
        <w:szCs w:val="1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C455">
    <w:pPr>
      <w:pStyle w:val="37"/>
      <w:pBdr>
        <w:bottom w:val="dotDotDash" w:color="auto" w:sz="4" w:space="1"/>
      </w:pBdr>
      <w:tabs>
        <w:tab w:val="left" w:pos="465"/>
        <w:tab w:val="right" w:pos="13511"/>
      </w:tabs>
      <w:ind w:right="360"/>
      <w:jc w:val="right"/>
    </w:pPr>
    <w:r>
      <w:rPr>
        <w:rFonts w:hint="eastAsia" w:ascii="文鼎粗黑" w:hAnsi="文鼎粗黑"/>
        <w:szCs w:val="18"/>
      </w:rPr>
      <w:t xml:space="preserve"> </w:t>
    </w:r>
    <w:r>
      <w:rPr>
        <w:rFonts w:hint="eastAsia" w:ascii="仿宋" w:hAnsi="仿宋" w:eastAsia="仿宋" w:cs="仿宋"/>
        <w:szCs w:val="18"/>
      </w:rPr>
      <w:drawing>
        <wp:inline distT="0" distB="0" distL="114300" distR="114300">
          <wp:extent cx="266700" cy="288290"/>
          <wp:effectExtent l="0" t="0" r="0" b="16510"/>
          <wp:docPr id="3" name="图片 2" descr="色值r255g5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色值r255g51b0"/>
                  <pic:cNvPicPr>
                    <a:picLocks noChangeAspect="1"/>
                  </pic:cNvPicPr>
                </pic:nvPicPr>
                <pic:blipFill>
                  <a:blip r:embed="rId1"/>
                  <a:stretch>
                    <a:fillRect/>
                  </a:stretch>
                </pic:blipFill>
                <pic:spPr>
                  <a:xfrm>
                    <a:off x="0" y="0"/>
                    <a:ext cx="266700" cy="288290"/>
                  </a:xfrm>
                  <a:prstGeom prst="rect">
                    <a:avLst/>
                  </a:prstGeom>
                  <a:noFill/>
                  <a:ln>
                    <a:noFill/>
                  </a:ln>
                </pic:spPr>
              </pic:pic>
            </a:graphicData>
          </a:graphic>
        </wp:inline>
      </w:drawing>
    </w:r>
    <w:r>
      <w:rPr>
        <w:rFonts w:hint="eastAsia" w:ascii="仿宋" w:hAnsi="仿宋" w:eastAsia="仿宋" w:cs="仿宋"/>
        <w:szCs w:val="18"/>
        <w:lang w:val="en-US" w:eastAsia="zh-CN"/>
      </w:rPr>
      <w:t xml:space="preserve">                                                                                 询比文件</w:t>
    </w:r>
    <w:r>
      <w:rPr>
        <w:rFonts w:hint="eastAsia" w:ascii="文鼎粗黑" w:hAnsi="文鼎粗黑"/>
        <w:szCs w:val="18"/>
      </w:rPr>
      <w:t xml:space="preserve"> </w:t>
    </w:r>
    <w:r>
      <w:rPr>
        <w:rFonts w:hint="eastAsia" w:ascii="文鼎粗黑" w:hAnsi="文鼎粗黑"/>
        <w:szCs w:val="18"/>
        <w:lang w:val="en-US" w:eastAsia="zh-CN"/>
      </w:rPr>
      <w:t xml:space="preserve"> </w:t>
    </w:r>
    <w:r>
      <w:rPr>
        <w:rFonts w:hint="eastAsia" w:ascii="文鼎粗黑" w:hAnsi="文鼎粗黑"/>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F3F8D"/>
    <w:multiLevelType w:val="singleLevel"/>
    <w:tmpl w:val="923F3F8D"/>
    <w:lvl w:ilvl="0" w:tentative="0">
      <w:start w:val="2"/>
      <w:numFmt w:val="decimal"/>
      <w:lvlText w:val="%1."/>
      <w:lvlJc w:val="left"/>
      <w:pPr>
        <w:tabs>
          <w:tab w:val="left" w:pos="312"/>
        </w:tabs>
        <w:ind w:left="960" w:leftChars="0" w:firstLine="0" w:firstLineChars="0"/>
      </w:pPr>
    </w:lvl>
  </w:abstractNum>
  <w:abstractNum w:abstractNumId="1">
    <w:nsid w:val="F856DE23"/>
    <w:multiLevelType w:val="singleLevel"/>
    <w:tmpl w:val="F856DE23"/>
    <w:lvl w:ilvl="0" w:tentative="0">
      <w:start w:val="1"/>
      <w:numFmt w:val="chineseCounting"/>
      <w:suff w:val="nothing"/>
      <w:lvlText w:val="%1、"/>
      <w:lvlJc w:val="left"/>
      <w:pPr>
        <w:ind w:left="120" w:leftChars="0" w:firstLine="0" w:firstLineChars="0"/>
      </w:pPr>
      <w:rPr>
        <w:rFonts w:hint="eastAsia"/>
      </w:rPr>
    </w:lvl>
  </w:abstractNum>
  <w:abstractNum w:abstractNumId="2">
    <w:nsid w:val="00000009"/>
    <w:multiLevelType w:val="multilevel"/>
    <w:tmpl w:val="00000009"/>
    <w:lvl w:ilvl="0" w:tentative="0">
      <w:start w:val="1"/>
      <w:numFmt w:val="upperLetter"/>
      <w:pStyle w:val="198"/>
      <w:suff w:val="nothing"/>
      <w:lvlText w:val="附　录　%1"/>
      <w:lvlJc w:val="left"/>
      <w:pPr>
        <w:ind w:left="0" w:firstLine="0"/>
      </w:pPr>
      <w:rPr>
        <w:rFonts w:hint="eastAsia" w:ascii="昆仑楷体" w:hAnsi="Tahoma" w:eastAsia="昆仑楷体"/>
        <w:b w:val="0"/>
        <w:i w:val="0"/>
        <w:sz w:val="21"/>
      </w:rPr>
    </w:lvl>
    <w:lvl w:ilvl="1" w:tentative="0">
      <w:start w:val="1"/>
      <w:numFmt w:val="decimal"/>
      <w:pStyle w:val="92"/>
      <w:suff w:val="nothing"/>
      <w:lvlText w:val="%1.%2　"/>
      <w:lvlJc w:val="left"/>
      <w:pPr>
        <w:ind w:left="210" w:firstLine="0"/>
      </w:pPr>
      <w:rPr>
        <w:rFonts w:hint="eastAsia" w:ascii="昆仑楷体" w:hAnsi="Tahoma" w:eastAsia="昆仑楷体"/>
        <w:b w:val="0"/>
        <w:i w:val="0"/>
        <w:snapToGrid/>
        <w:spacing w:val="0"/>
        <w:w w:val="100"/>
        <w:kern w:val="21"/>
        <w:sz w:val="21"/>
      </w:rPr>
    </w:lvl>
    <w:lvl w:ilvl="2" w:tentative="0">
      <w:start w:val="1"/>
      <w:numFmt w:val="decimal"/>
      <w:suff w:val="nothing"/>
      <w:lvlText w:val="%1.%2.%3　"/>
      <w:lvlJc w:val="left"/>
      <w:pPr>
        <w:ind w:left="0" w:firstLine="0"/>
      </w:pPr>
      <w:rPr>
        <w:rFonts w:hint="eastAsia" w:ascii="昆仑楷体" w:hAnsi="Tahoma" w:eastAsia="昆仑楷体"/>
        <w:b w:val="0"/>
        <w:i w:val="0"/>
        <w:sz w:val="21"/>
      </w:rPr>
    </w:lvl>
    <w:lvl w:ilvl="3" w:tentative="0">
      <w:start w:val="1"/>
      <w:numFmt w:val="decimal"/>
      <w:suff w:val="nothing"/>
      <w:lvlText w:val="%1.%2.%3.%4　"/>
      <w:lvlJc w:val="left"/>
      <w:pPr>
        <w:ind w:left="0" w:firstLine="0"/>
      </w:pPr>
      <w:rPr>
        <w:rFonts w:hint="eastAsia" w:ascii="昆仑楷体" w:hAnsi="Tahoma" w:eastAsia="昆仑楷体"/>
        <w:b w:val="0"/>
        <w:i w:val="0"/>
        <w:sz w:val="21"/>
      </w:rPr>
    </w:lvl>
    <w:lvl w:ilvl="4" w:tentative="0">
      <w:start w:val="1"/>
      <w:numFmt w:val="decimal"/>
      <w:suff w:val="nothing"/>
      <w:lvlText w:val="%1.%2.%3.%4.%5　"/>
      <w:lvlJc w:val="left"/>
      <w:pPr>
        <w:ind w:left="0" w:firstLine="0"/>
      </w:pPr>
      <w:rPr>
        <w:rFonts w:hint="eastAsia" w:ascii="昆仑楷体" w:hAnsi="Tahoma" w:eastAsia="昆仑楷体"/>
        <w:b w:val="0"/>
        <w:i w:val="0"/>
        <w:sz w:val="21"/>
      </w:rPr>
    </w:lvl>
    <w:lvl w:ilvl="5" w:tentative="0">
      <w:start w:val="1"/>
      <w:numFmt w:val="decimal"/>
      <w:suff w:val="nothing"/>
      <w:lvlText w:val="%1.%2.%3.%4.%5.%6　"/>
      <w:lvlJc w:val="left"/>
      <w:pPr>
        <w:ind w:left="0" w:firstLine="0"/>
      </w:pPr>
      <w:rPr>
        <w:rFonts w:hint="eastAsia" w:ascii="昆仑楷体" w:hAnsi="Tahoma" w:eastAsia="昆仑楷体"/>
        <w:b w:val="0"/>
        <w:i w:val="0"/>
        <w:sz w:val="21"/>
      </w:rPr>
    </w:lvl>
    <w:lvl w:ilvl="6" w:tentative="0">
      <w:start w:val="1"/>
      <w:numFmt w:val="decimal"/>
      <w:suff w:val="nothing"/>
      <w:lvlText w:val="%1.%2.%3.%4.%5.%6.%7　"/>
      <w:lvlJc w:val="left"/>
      <w:pPr>
        <w:ind w:left="0" w:firstLine="0"/>
      </w:pPr>
      <w:rPr>
        <w:rFonts w:hint="eastAsia" w:ascii="昆仑楷体" w:hAnsi="Tahoma" w:eastAsia="昆仑楷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83"/>
      <w:lvlText w:val=""/>
      <w:lvlJc w:val="left"/>
      <w:pPr>
        <w:tabs>
          <w:tab w:val="left" w:pos="987"/>
        </w:tabs>
        <w:ind w:left="987" w:hanging="420"/>
      </w:pPr>
      <w:rPr>
        <w:rFonts w:hint="default" w:ascii="PMingLiU" w:hAnsi="PMingLiU"/>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PMingLiU" w:hAnsi="PMingLiU"/>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74"/>
      <w:lvlText w:val=""/>
      <w:lvlJc w:val="left"/>
      <w:pPr>
        <w:tabs>
          <w:tab w:val="left" w:pos="360"/>
        </w:tabs>
        <w:ind w:left="360" w:hanging="360"/>
      </w:pPr>
      <w:rPr>
        <w:rFonts w:hint="default" w:ascii="PMingLiU" w:hAnsi="PMingLiU"/>
      </w:rPr>
    </w:lvl>
  </w:abstractNum>
  <w:abstractNum w:abstractNumId="5">
    <w:nsid w:val="0000000C"/>
    <w:multiLevelType w:val="multilevel"/>
    <w:tmpl w:val="0000000C"/>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61"/>
      <w:suff w:val="nothing"/>
      <w:lvlText w:val="%1.%2.%3.%4　"/>
      <w:lvlJc w:val="left"/>
      <w:pPr>
        <w:ind w:left="0" w:firstLine="0"/>
      </w:pPr>
      <w:rPr>
        <w:rFonts w:hint="eastAsia" w:ascii="黑体" w:hAnsi="Times New Roman" w:eastAsia="黑体"/>
        <w:b w:val="0"/>
        <w:i w:val="0"/>
        <w:sz w:val="21"/>
      </w:rPr>
    </w:lvl>
    <w:lvl w:ilvl="4" w:tentative="0">
      <w:start w:val="1"/>
      <w:numFmt w:val="decimal"/>
      <w:pStyle w:val="26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0D"/>
    <w:multiLevelType w:val="singleLevel"/>
    <w:tmpl w:val="0000000D"/>
    <w:lvl w:ilvl="0" w:tentative="0">
      <w:start w:val="1"/>
      <w:numFmt w:val="bullet"/>
      <w:pStyle w:val="22"/>
      <w:lvlText w:val=""/>
      <w:lvlJc w:val="left"/>
      <w:pPr>
        <w:tabs>
          <w:tab w:val="left" w:pos="1200"/>
        </w:tabs>
        <w:ind w:left="1200" w:hanging="360"/>
      </w:pPr>
      <w:rPr>
        <w:rFonts w:hint="default" w:ascii="PMingLiU" w:hAnsi="PMingLiU"/>
      </w:rPr>
    </w:lvl>
  </w:abstractNum>
  <w:abstractNum w:abstractNumId="7">
    <w:nsid w:val="0000000E"/>
    <w:multiLevelType w:val="multilevel"/>
    <w:tmpl w:val="0000000E"/>
    <w:lvl w:ilvl="0" w:tentative="0">
      <w:start w:val="1"/>
      <w:numFmt w:val="bullet"/>
      <w:pStyle w:val="69"/>
      <w:lvlText w:val=""/>
      <w:lvlJc w:val="left"/>
      <w:pPr>
        <w:tabs>
          <w:tab w:val="left" w:pos="540"/>
        </w:tabs>
        <w:ind w:left="540" w:firstLine="0"/>
      </w:pPr>
      <w:rPr>
        <w:rFonts w:hint="default" w:ascii="PMingLiU" w:hAnsi="PMingLiU"/>
        <w:sz w:val="16"/>
      </w:rPr>
    </w:lvl>
    <w:lvl w:ilvl="1" w:tentative="0">
      <w:start w:val="1"/>
      <w:numFmt w:val="bullet"/>
      <w:lvlText w:val=""/>
      <w:lvlJc w:val="left"/>
      <w:pPr>
        <w:tabs>
          <w:tab w:val="left" w:pos="1940"/>
        </w:tabs>
        <w:ind w:left="1940" w:hanging="420"/>
      </w:pPr>
      <w:rPr>
        <w:rFonts w:hint="default" w:ascii="PMingLiU" w:hAnsi="PMingLiU"/>
      </w:rPr>
    </w:lvl>
    <w:lvl w:ilvl="2" w:tentative="0">
      <w:start w:val="1"/>
      <w:numFmt w:val="bullet"/>
      <w:lvlText w:val=""/>
      <w:lvlJc w:val="left"/>
      <w:pPr>
        <w:tabs>
          <w:tab w:val="left" w:pos="2360"/>
        </w:tabs>
        <w:ind w:left="2360" w:hanging="420"/>
      </w:pPr>
      <w:rPr>
        <w:rFonts w:hint="default" w:ascii="PMingLiU" w:hAnsi="PMingLiU"/>
      </w:rPr>
    </w:lvl>
    <w:lvl w:ilvl="3" w:tentative="0">
      <w:start w:val="1"/>
      <w:numFmt w:val="bullet"/>
      <w:lvlText w:val=""/>
      <w:lvlJc w:val="left"/>
      <w:pPr>
        <w:tabs>
          <w:tab w:val="left" w:pos="2780"/>
        </w:tabs>
        <w:ind w:left="2780" w:hanging="420"/>
      </w:pPr>
      <w:rPr>
        <w:rFonts w:hint="default" w:ascii="PMingLiU" w:hAnsi="PMingLiU"/>
      </w:rPr>
    </w:lvl>
    <w:lvl w:ilvl="4" w:tentative="0">
      <w:start w:val="1"/>
      <w:numFmt w:val="bullet"/>
      <w:lvlText w:val=""/>
      <w:lvlJc w:val="left"/>
      <w:pPr>
        <w:tabs>
          <w:tab w:val="left" w:pos="3200"/>
        </w:tabs>
        <w:ind w:left="3200" w:hanging="420"/>
      </w:pPr>
      <w:rPr>
        <w:rFonts w:hint="default" w:ascii="PMingLiU" w:hAnsi="PMingLiU"/>
      </w:rPr>
    </w:lvl>
    <w:lvl w:ilvl="5" w:tentative="0">
      <w:start w:val="1"/>
      <w:numFmt w:val="bullet"/>
      <w:lvlText w:val=""/>
      <w:lvlJc w:val="left"/>
      <w:pPr>
        <w:tabs>
          <w:tab w:val="left" w:pos="3620"/>
        </w:tabs>
        <w:ind w:left="3620" w:hanging="420"/>
      </w:pPr>
      <w:rPr>
        <w:rFonts w:hint="default" w:ascii="PMingLiU" w:hAnsi="PMingLiU"/>
      </w:rPr>
    </w:lvl>
    <w:lvl w:ilvl="6" w:tentative="0">
      <w:start w:val="1"/>
      <w:numFmt w:val="bullet"/>
      <w:lvlText w:val=""/>
      <w:lvlJc w:val="left"/>
      <w:pPr>
        <w:tabs>
          <w:tab w:val="left" w:pos="4040"/>
        </w:tabs>
        <w:ind w:left="4040" w:hanging="420"/>
      </w:pPr>
      <w:rPr>
        <w:rFonts w:hint="default" w:ascii="PMingLiU" w:hAnsi="PMingLiU"/>
      </w:rPr>
    </w:lvl>
    <w:lvl w:ilvl="7" w:tentative="0">
      <w:start w:val="1"/>
      <w:numFmt w:val="bullet"/>
      <w:lvlText w:val=""/>
      <w:lvlJc w:val="left"/>
      <w:pPr>
        <w:tabs>
          <w:tab w:val="left" w:pos="4460"/>
        </w:tabs>
        <w:ind w:left="4460" w:hanging="420"/>
      </w:pPr>
      <w:rPr>
        <w:rFonts w:hint="default" w:ascii="PMingLiU" w:hAnsi="PMingLiU"/>
      </w:rPr>
    </w:lvl>
    <w:lvl w:ilvl="8" w:tentative="0">
      <w:start w:val="1"/>
      <w:numFmt w:val="bullet"/>
      <w:lvlText w:val=""/>
      <w:lvlJc w:val="left"/>
      <w:pPr>
        <w:tabs>
          <w:tab w:val="left" w:pos="4880"/>
        </w:tabs>
        <w:ind w:left="4880" w:hanging="420"/>
      </w:pPr>
      <w:rPr>
        <w:rFonts w:hint="default" w:ascii="PMingLiU" w:hAnsi="PMingLiU"/>
      </w:rPr>
    </w:lvl>
  </w:abstractNum>
  <w:abstractNum w:abstractNumId="8">
    <w:nsid w:val="00000011"/>
    <w:multiLevelType w:val="multilevel"/>
    <w:tmpl w:val="00000011"/>
    <w:lvl w:ilvl="0" w:tentative="0">
      <w:start w:val="1"/>
      <w:numFmt w:val="decimal"/>
      <w:pStyle w:val="85"/>
      <w:lvlText w:val="（%1）"/>
      <w:lvlJc w:val="left"/>
      <w:pPr>
        <w:tabs>
          <w:tab w:val="left" w:pos="1230"/>
        </w:tabs>
        <w:ind w:left="0" w:firstLine="510"/>
      </w:pPr>
      <w:rPr>
        <w:rFonts w:hint="default" w:ascii="Arial Narrow" w:hAnsi="Arial Narrow"/>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79"/>
      <w:lvlText w:val=""/>
      <w:lvlJc w:val="left"/>
      <w:pPr>
        <w:tabs>
          <w:tab w:val="left" w:pos="1644"/>
        </w:tabs>
        <w:ind w:left="1644" w:hanging="510"/>
      </w:pPr>
      <w:rPr>
        <w:rFonts w:hint="default" w:ascii="PMingLiU" w:hAnsi="PMingLiU"/>
        <w:color w:val="auto"/>
        <w:sz w:val="13"/>
        <w:u w:val="none"/>
      </w:rPr>
    </w:lvl>
    <w:lvl w:ilvl="1" w:tentative="0">
      <w:start w:val="1"/>
      <w:numFmt w:val="bullet"/>
      <w:lvlText w:val=""/>
      <w:lvlJc w:val="left"/>
      <w:pPr>
        <w:tabs>
          <w:tab w:val="left" w:pos="840"/>
        </w:tabs>
        <w:ind w:left="840" w:hanging="420"/>
      </w:pPr>
      <w:rPr>
        <w:rFonts w:hint="default" w:ascii="PMingLiU" w:hAnsi="PMingLiU"/>
        <w:color w:val="auto"/>
        <w:sz w:val="13"/>
        <w:u w:val="none"/>
      </w:rPr>
    </w:lvl>
    <w:lvl w:ilvl="2" w:tentative="0">
      <w:start w:val="1"/>
      <w:numFmt w:val="bullet"/>
      <w:lvlText w:val=""/>
      <w:lvlJc w:val="left"/>
      <w:pPr>
        <w:tabs>
          <w:tab w:val="left" w:pos="1260"/>
        </w:tabs>
        <w:ind w:left="1260" w:hanging="420"/>
      </w:pPr>
      <w:rPr>
        <w:rFonts w:hint="default" w:ascii="PMingLiU" w:hAnsi="PMingLiU"/>
      </w:rPr>
    </w:lvl>
    <w:lvl w:ilvl="3" w:tentative="0">
      <w:start w:val="1"/>
      <w:numFmt w:val="bullet"/>
      <w:lvlText w:val=""/>
      <w:lvlJc w:val="left"/>
      <w:pPr>
        <w:tabs>
          <w:tab w:val="left" w:pos="1680"/>
        </w:tabs>
        <w:ind w:left="1680" w:hanging="420"/>
      </w:pPr>
      <w:rPr>
        <w:rFonts w:hint="default" w:ascii="PMingLiU" w:hAnsi="PMingLiU"/>
      </w:rPr>
    </w:lvl>
    <w:lvl w:ilvl="4" w:tentative="0">
      <w:start w:val="1"/>
      <w:numFmt w:val="bullet"/>
      <w:lvlText w:val=""/>
      <w:lvlJc w:val="left"/>
      <w:pPr>
        <w:tabs>
          <w:tab w:val="left" w:pos="2100"/>
        </w:tabs>
        <w:ind w:left="2100" w:hanging="420"/>
      </w:pPr>
      <w:rPr>
        <w:rFonts w:hint="default" w:ascii="PMingLiU" w:hAnsi="PMingLiU"/>
      </w:rPr>
    </w:lvl>
    <w:lvl w:ilvl="5" w:tentative="0">
      <w:start w:val="1"/>
      <w:numFmt w:val="bullet"/>
      <w:lvlText w:val=""/>
      <w:lvlJc w:val="left"/>
      <w:pPr>
        <w:tabs>
          <w:tab w:val="left" w:pos="2520"/>
        </w:tabs>
        <w:ind w:left="2520" w:hanging="420"/>
      </w:pPr>
      <w:rPr>
        <w:rFonts w:hint="default" w:ascii="PMingLiU" w:hAnsi="PMingLiU"/>
      </w:rPr>
    </w:lvl>
    <w:lvl w:ilvl="6" w:tentative="0">
      <w:start w:val="1"/>
      <w:numFmt w:val="bullet"/>
      <w:lvlText w:val=""/>
      <w:lvlJc w:val="left"/>
      <w:pPr>
        <w:tabs>
          <w:tab w:val="left" w:pos="2940"/>
        </w:tabs>
        <w:ind w:left="2940" w:hanging="420"/>
      </w:pPr>
      <w:rPr>
        <w:rFonts w:hint="default" w:ascii="PMingLiU" w:hAnsi="PMingLiU"/>
      </w:rPr>
    </w:lvl>
    <w:lvl w:ilvl="7" w:tentative="0">
      <w:start w:val="1"/>
      <w:numFmt w:val="bullet"/>
      <w:lvlText w:val=""/>
      <w:lvlJc w:val="left"/>
      <w:pPr>
        <w:tabs>
          <w:tab w:val="left" w:pos="3360"/>
        </w:tabs>
        <w:ind w:left="3360" w:hanging="420"/>
      </w:pPr>
      <w:rPr>
        <w:rFonts w:hint="default" w:ascii="PMingLiU" w:hAnsi="PMingLiU"/>
      </w:rPr>
    </w:lvl>
    <w:lvl w:ilvl="8" w:tentative="0">
      <w:start w:val="1"/>
      <w:numFmt w:val="bullet"/>
      <w:lvlText w:val=""/>
      <w:lvlJc w:val="left"/>
      <w:pPr>
        <w:tabs>
          <w:tab w:val="left" w:pos="3780"/>
        </w:tabs>
        <w:ind w:left="3780" w:hanging="420"/>
      </w:pPr>
      <w:rPr>
        <w:rFonts w:hint="default" w:ascii="PMingLiU" w:hAnsi="PMingLiU"/>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PMingLiU" w:hAnsi="PMingLiU"/>
      </w:rPr>
    </w:lvl>
  </w:abstractNum>
  <w:abstractNum w:abstractNumId="12">
    <w:nsid w:val="00000016"/>
    <w:multiLevelType w:val="singleLevel"/>
    <w:tmpl w:val="00000016"/>
    <w:lvl w:ilvl="0" w:tentative="0">
      <w:start w:val="1"/>
      <w:numFmt w:val="decimal"/>
      <w:pStyle w:val="162"/>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8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8A3F203"/>
    <w:multiLevelType w:val="singleLevel"/>
    <w:tmpl w:val="08A3F203"/>
    <w:lvl w:ilvl="0" w:tentative="0">
      <w:start w:val="2"/>
      <w:numFmt w:val="chineseCounting"/>
      <w:suff w:val="nothing"/>
      <w:lvlText w:val="（%1）"/>
      <w:lvlJc w:val="left"/>
      <w:rPr>
        <w:rFonts w:hint="eastAsia"/>
      </w:rPr>
    </w:lvl>
  </w:abstractNum>
  <w:abstractNum w:abstractNumId="15">
    <w:nsid w:val="156A11F4"/>
    <w:multiLevelType w:val="singleLevel"/>
    <w:tmpl w:val="156A11F4"/>
    <w:lvl w:ilvl="0" w:tentative="0">
      <w:start w:val="4"/>
      <w:numFmt w:val="chineseCounting"/>
      <w:suff w:val="space"/>
      <w:lvlText w:val="第%1篇"/>
      <w:lvlJc w:val="left"/>
      <w:rPr>
        <w:rFonts w:hint="eastAsia"/>
      </w:rPr>
    </w:lvl>
  </w:abstractNum>
  <w:num w:numId="1">
    <w:abstractNumId w:val="10"/>
  </w:num>
  <w:num w:numId="2">
    <w:abstractNumId w:val="6"/>
  </w:num>
  <w:num w:numId="3">
    <w:abstractNumId w:val="11"/>
  </w:num>
  <w:num w:numId="4">
    <w:abstractNumId w:val="7"/>
  </w:num>
  <w:num w:numId="5">
    <w:abstractNumId w:val="4"/>
  </w:num>
  <w:num w:numId="6">
    <w:abstractNumId w:val="8"/>
  </w:num>
  <w:num w:numId="7">
    <w:abstractNumId w:val="2"/>
  </w:num>
  <w:num w:numId="8">
    <w:abstractNumId w:val="12"/>
  </w:num>
  <w:num w:numId="9">
    <w:abstractNumId w:val="9"/>
  </w:num>
  <w:num w:numId="10">
    <w:abstractNumId w:val="3"/>
  </w:num>
  <w:num w:numId="11">
    <w:abstractNumId w:val="13"/>
  </w:num>
  <w:num w:numId="12">
    <w:abstractNumId w:val="5"/>
  </w:num>
  <w:num w:numId="13">
    <w:abstractNumId w:val="1"/>
  </w:num>
  <w:num w:numId="14">
    <w:abstractNumId w:val="15"/>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26"/>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WJhNTE3Njc5OTg0NzViYWE3ZWM1ODAwZThhZmIifQ=="/>
  </w:docVars>
  <w:rsids>
    <w:rsidRoot w:val="00172A27"/>
    <w:rsid w:val="00001942"/>
    <w:rsid w:val="00002691"/>
    <w:rsid w:val="000027A1"/>
    <w:rsid w:val="0000294D"/>
    <w:rsid w:val="00002B2C"/>
    <w:rsid w:val="00003108"/>
    <w:rsid w:val="000051C3"/>
    <w:rsid w:val="00006859"/>
    <w:rsid w:val="00006A52"/>
    <w:rsid w:val="00007082"/>
    <w:rsid w:val="0001032D"/>
    <w:rsid w:val="000107B7"/>
    <w:rsid w:val="00011AD6"/>
    <w:rsid w:val="00016B79"/>
    <w:rsid w:val="00017333"/>
    <w:rsid w:val="0002241A"/>
    <w:rsid w:val="00023407"/>
    <w:rsid w:val="0002695B"/>
    <w:rsid w:val="00026B2D"/>
    <w:rsid w:val="000279C9"/>
    <w:rsid w:val="000314BF"/>
    <w:rsid w:val="000345E8"/>
    <w:rsid w:val="00034D2C"/>
    <w:rsid w:val="00036255"/>
    <w:rsid w:val="0003632F"/>
    <w:rsid w:val="00036BDD"/>
    <w:rsid w:val="00036D52"/>
    <w:rsid w:val="000378D0"/>
    <w:rsid w:val="00041E4C"/>
    <w:rsid w:val="0004387A"/>
    <w:rsid w:val="00044729"/>
    <w:rsid w:val="00044775"/>
    <w:rsid w:val="00044D83"/>
    <w:rsid w:val="000451FF"/>
    <w:rsid w:val="000505EA"/>
    <w:rsid w:val="0005298B"/>
    <w:rsid w:val="000536B1"/>
    <w:rsid w:val="00053D60"/>
    <w:rsid w:val="00054C6C"/>
    <w:rsid w:val="00056A1F"/>
    <w:rsid w:val="000576E1"/>
    <w:rsid w:val="0005783F"/>
    <w:rsid w:val="00060281"/>
    <w:rsid w:val="00063981"/>
    <w:rsid w:val="00064111"/>
    <w:rsid w:val="000673BA"/>
    <w:rsid w:val="00067515"/>
    <w:rsid w:val="000675C5"/>
    <w:rsid w:val="00067658"/>
    <w:rsid w:val="00067BF2"/>
    <w:rsid w:val="0007030D"/>
    <w:rsid w:val="00075082"/>
    <w:rsid w:val="00075AA8"/>
    <w:rsid w:val="00076248"/>
    <w:rsid w:val="000763EA"/>
    <w:rsid w:val="00077A94"/>
    <w:rsid w:val="000820B7"/>
    <w:rsid w:val="00083C41"/>
    <w:rsid w:val="000856BA"/>
    <w:rsid w:val="0008586E"/>
    <w:rsid w:val="00086BB3"/>
    <w:rsid w:val="0008747D"/>
    <w:rsid w:val="00087664"/>
    <w:rsid w:val="00087AF8"/>
    <w:rsid w:val="0009023C"/>
    <w:rsid w:val="0009043A"/>
    <w:rsid w:val="0009114C"/>
    <w:rsid w:val="00097154"/>
    <w:rsid w:val="000A11D6"/>
    <w:rsid w:val="000A164E"/>
    <w:rsid w:val="000A1E44"/>
    <w:rsid w:val="000A280A"/>
    <w:rsid w:val="000A2881"/>
    <w:rsid w:val="000A3829"/>
    <w:rsid w:val="000B0774"/>
    <w:rsid w:val="000B24E8"/>
    <w:rsid w:val="000B4039"/>
    <w:rsid w:val="000B59CB"/>
    <w:rsid w:val="000B6743"/>
    <w:rsid w:val="000B7377"/>
    <w:rsid w:val="000B7F54"/>
    <w:rsid w:val="000C366B"/>
    <w:rsid w:val="000C3C53"/>
    <w:rsid w:val="000C45CF"/>
    <w:rsid w:val="000C4E65"/>
    <w:rsid w:val="000C55E0"/>
    <w:rsid w:val="000C7093"/>
    <w:rsid w:val="000D0AD1"/>
    <w:rsid w:val="000D18D8"/>
    <w:rsid w:val="000D270D"/>
    <w:rsid w:val="000D2AB7"/>
    <w:rsid w:val="000D2B26"/>
    <w:rsid w:val="000D3403"/>
    <w:rsid w:val="000D58DB"/>
    <w:rsid w:val="000D5BE9"/>
    <w:rsid w:val="000D7820"/>
    <w:rsid w:val="000E0704"/>
    <w:rsid w:val="000E0CA6"/>
    <w:rsid w:val="000E116B"/>
    <w:rsid w:val="000E1C43"/>
    <w:rsid w:val="000E2C67"/>
    <w:rsid w:val="000E302F"/>
    <w:rsid w:val="000E3259"/>
    <w:rsid w:val="000E67A7"/>
    <w:rsid w:val="000F0A33"/>
    <w:rsid w:val="000F354C"/>
    <w:rsid w:val="000F4C68"/>
    <w:rsid w:val="000F4EC6"/>
    <w:rsid w:val="000F6454"/>
    <w:rsid w:val="000F6966"/>
    <w:rsid w:val="000F7127"/>
    <w:rsid w:val="000F733F"/>
    <w:rsid w:val="000F7DBF"/>
    <w:rsid w:val="00100639"/>
    <w:rsid w:val="0010135F"/>
    <w:rsid w:val="0010227F"/>
    <w:rsid w:val="00102622"/>
    <w:rsid w:val="001034A0"/>
    <w:rsid w:val="00103DB2"/>
    <w:rsid w:val="001043BF"/>
    <w:rsid w:val="00104EAE"/>
    <w:rsid w:val="00107108"/>
    <w:rsid w:val="00107131"/>
    <w:rsid w:val="001071A0"/>
    <w:rsid w:val="00111569"/>
    <w:rsid w:val="00112B5C"/>
    <w:rsid w:val="00115C7F"/>
    <w:rsid w:val="00116856"/>
    <w:rsid w:val="00120221"/>
    <w:rsid w:val="00120259"/>
    <w:rsid w:val="00120F5B"/>
    <w:rsid w:val="00122624"/>
    <w:rsid w:val="00123C0D"/>
    <w:rsid w:val="00126249"/>
    <w:rsid w:val="0013329B"/>
    <w:rsid w:val="00133D16"/>
    <w:rsid w:val="00134412"/>
    <w:rsid w:val="0013480B"/>
    <w:rsid w:val="00135C0C"/>
    <w:rsid w:val="00136D33"/>
    <w:rsid w:val="001403A2"/>
    <w:rsid w:val="001426E9"/>
    <w:rsid w:val="00142DA6"/>
    <w:rsid w:val="00144066"/>
    <w:rsid w:val="00144370"/>
    <w:rsid w:val="00145DAC"/>
    <w:rsid w:val="0014725A"/>
    <w:rsid w:val="00147FB4"/>
    <w:rsid w:val="0015011C"/>
    <w:rsid w:val="0015013B"/>
    <w:rsid w:val="00150429"/>
    <w:rsid w:val="001534C7"/>
    <w:rsid w:val="00153731"/>
    <w:rsid w:val="001549E5"/>
    <w:rsid w:val="00154DAE"/>
    <w:rsid w:val="00155C2D"/>
    <w:rsid w:val="00155DC8"/>
    <w:rsid w:val="001563BB"/>
    <w:rsid w:val="0015722F"/>
    <w:rsid w:val="00157F7C"/>
    <w:rsid w:val="00160A78"/>
    <w:rsid w:val="00163E19"/>
    <w:rsid w:val="00164E1B"/>
    <w:rsid w:val="00165ADD"/>
    <w:rsid w:val="0016653D"/>
    <w:rsid w:val="0016663B"/>
    <w:rsid w:val="00171571"/>
    <w:rsid w:val="00172569"/>
    <w:rsid w:val="00172A27"/>
    <w:rsid w:val="001744EB"/>
    <w:rsid w:val="001751BB"/>
    <w:rsid w:val="00176A44"/>
    <w:rsid w:val="00176FFC"/>
    <w:rsid w:val="001775FB"/>
    <w:rsid w:val="00180ACB"/>
    <w:rsid w:val="00180DCF"/>
    <w:rsid w:val="001820FD"/>
    <w:rsid w:val="00182F89"/>
    <w:rsid w:val="0018390C"/>
    <w:rsid w:val="0018580A"/>
    <w:rsid w:val="001870CA"/>
    <w:rsid w:val="00191580"/>
    <w:rsid w:val="00193435"/>
    <w:rsid w:val="00193657"/>
    <w:rsid w:val="0019368D"/>
    <w:rsid w:val="00193E9A"/>
    <w:rsid w:val="00194883"/>
    <w:rsid w:val="0019535A"/>
    <w:rsid w:val="001A3123"/>
    <w:rsid w:val="001A48B1"/>
    <w:rsid w:val="001A6DCC"/>
    <w:rsid w:val="001A7163"/>
    <w:rsid w:val="001A7661"/>
    <w:rsid w:val="001A7A8A"/>
    <w:rsid w:val="001A7CE1"/>
    <w:rsid w:val="001B09AE"/>
    <w:rsid w:val="001B1745"/>
    <w:rsid w:val="001B1913"/>
    <w:rsid w:val="001B2473"/>
    <w:rsid w:val="001B3CD2"/>
    <w:rsid w:val="001B3DBD"/>
    <w:rsid w:val="001B3F83"/>
    <w:rsid w:val="001B41BE"/>
    <w:rsid w:val="001B4377"/>
    <w:rsid w:val="001B468A"/>
    <w:rsid w:val="001B6E8D"/>
    <w:rsid w:val="001C26C2"/>
    <w:rsid w:val="001C2935"/>
    <w:rsid w:val="001C339D"/>
    <w:rsid w:val="001C4417"/>
    <w:rsid w:val="001C4E33"/>
    <w:rsid w:val="001C4FC1"/>
    <w:rsid w:val="001C57CA"/>
    <w:rsid w:val="001C7576"/>
    <w:rsid w:val="001D057F"/>
    <w:rsid w:val="001D203A"/>
    <w:rsid w:val="001D21F2"/>
    <w:rsid w:val="001D266D"/>
    <w:rsid w:val="001D2DCD"/>
    <w:rsid w:val="001D2E87"/>
    <w:rsid w:val="001D2FDE"/>
    <w:rsid w:val="001D37F3"/>
    <w:rsid w:val="001D3D32"/>
    <w:rsid w:val="001D3F1A"/>
    <w:rsid w:val="001D43AB"/>
    <w:rsid w:val="001D5055"/>
    <w:rsid w:val="001D54EA"/>
    <w:rsid w:val="001D5BB9"/>
    <w:rsid w:val="001E1D6B"/>
    <w:rsid w:val="001E281D"/>
    <w:rsid w:val="001E5793"/>
    <w:rsid w:val="001E5CAC"/>
    <w:rsid w:val="001E725F"/>
    <w:rsid w:val="001E7CC0"/>
    <w:rsid w:val="001F0A55"/>
    <w:rsid w:val="001F1AF7"/>
    <w:rsid w:val="001F3C50"/>
    <w:rsid w:val="001F4964"/>
    <w:rsid w:val="001F7063"/>
    <w:rsid w:val="001F720B"/>
    <w:rsid w:val="001F7247"/>
    <w:rsid w:val="001F75D7"/>
    <w:rsid w:val="00200A4C"/>
    <w:rsid w:val="0020279F"/>
    <w:rsid w:val="00202B04"/>
    <w:rsid w:val="00202B6B"/>
    <w:rsid w:val="00203715"/>
    <w:rsid w:val="002047D8"/>
    <w:rsid w:val="00204936"/>
    <w:rsid w:val="0020517F"/>
    <w:rsid w:val="002056C6"/>
    <w:rsid w:val="00205D06"/>
    <w:rsid w:val="00206935"/>
    <w:rsid w:val="00206B92"/>
    <w:rsid w:val="002100EE"/>
    <w:rsid w:val="00211B3C"/>
    <w:rsid w:val="00211DC0"/>
    <w:rsid w:val="00212387"/>
    <w:rsid w:val="00212786"/>
    <w:rsid w:val="00212DA9"/>
    <w:rsid w:val="00213681"/>
    <w:rsid w:val="0021456A"/>
    <w:rsid w:val="00214B43"/>
    <w:rsid w:val="002152EE"/>
    <w:rsid w:val="002156F0"/>
    <w:rsid w:val="00216378"/>
    <w:rsid w:val="00217D16"/>
    <w:rsid w:val="0022145F"/>
    <w:rsid w:val="00221712"/>
    <w:rsid w:val="00222097"/>
    <w:rsid w:val="002224C1"/>
    <w:rsid w:val="00223FDD"/>
    <w:rsid w:val="0022528E"/>
    <w:rsid w:val="0022757E"/>
    <w:rsid w:val="00231BE5"/>
    <w:rsid w:val="002335DA"/>
    <w:rsid w:val="00234258"/>
    <w:rsid w:val="00234C53"/>
    <w:rsid w:val="00236F42"/>
    <w:rsid w:val="00237E53"/>
    <w:rsid w:val="002441A1"/>
    <w:rsid w:val="002445A1"/>
    <w:rsid w:val="00245F0E"/>
    <w:rsid w:val="00247AE9"/>
    <w:rsid w:val="002516B2"/>
    <w:rsid w:val="00252313"/>
    <w:rsid w:val="00252A5E"/>
    <w:rsid w:val="00254C3B"/>
    <w:rsid w:val="00255E24"/>
    <w:rsid w:val="00256802"/>
    <w:rsid w:val="00261031"/>
    <w:rsid w:val="00263C5B"/>
    <w:rsid w:val="0026428C"/>
    <w:rsid w:val="002643C1"/>
    <w:rsid w:val="002648CD"/>
    <w:rsid w:val="00267401"/>
    <w:rsid w:val="002678B2"/>
    <w:rsid w:val="00271D47"/>
    <w:rsid w:val="002721EA"/>
    <w:rsid w:val="0027222A"/>
    <w:rsid w:val="00273DCE"/>
    <w:rsid w:val="00274D2E"/>
    <w:rsid w:val="00275737"/>
    <w:rsid w:val="00276F07"/>
    <w:rsid w:val="00280E8A"/>
    <w:rsid w:val="00281711"/>
    <w:rsid w:val="00281FD0"/>
    <w:rsid w:val="00282537"/>
    <w:rsid w:val="002831D5"/>
    <w:rsid w:val="00283BEC"/>
    <w:rsid w:val="00284431"/>
    <w:rsid w:val="00284FFF"/>
    <w:rsid w:val="00285164"/>
    <w:rsid w:val="0028624C"/>
    <w:rsid w:val="00287212"/>
    <w:rsid w:val="00291EAB"/>
    <w:rsid w:val="00292849"/>
    <w:rsid w:val="00293A68"/>
    <w:rsid w:val="00296E8C"/>
    <w:rsid w:val="00297674"/>
    <w:rsid w:val="002A23D9"/>
    <w:rsid w:val="002A2F90"/>
    <w:rsid w:val="002A4956"/>
    <w:rsid w:val="002A6710"/>
    <w:rsid w:val="002A6FC8"/>
    <w:rsid w:val="002A7A32"/>
    <w:rsid w:val="002B0123"/>
    <w:rsid w:val="002B185F"/>
    <w:rsid w:val="002B4DBF"/>
    <w:rsid w:val="002B55CA"/>
    <w:rsid w:val="002B5D66"/>
    <w:rsid w:val="002B642C"/>
    <w:rsid w:val="002B6CC6"/>
    <w:rsid w:val="002B6DC1"/>
    <w:rsid w:val="002B7904"/>
    <w:rsid w:val="002B7CC9"/>
    <w:rsid w:val="002C1655"/>
    <w:rsid w:val="002C2E6E"/>
    <w:rsid w:val="002C3F93"/>
    <w:rsid w:val="002C4887"/>
    <w:rsid w:val="002C651B"/>
    <w:rsid w:val="002C6C9B"/>
    <w:rsid w:val="002C70CB"/>
    <w:rsid w:val="002C75D7"/>
    <w:rsid w:val="002D0081"/>
    <w:rsid w:val="002D0CF3"/>
    <w:rsid w:val="002D10A8"/>
    <w:rsid w:val="002D1868"/>
    <w:rsid w:val="002D1F0F"/>
    <w:rsid w:val="002D2121"/>
    <w:rsid w:val="002D27B7"/>
    <w:rsid w:val="002D5493"/>
    <w:rsid w:val="002D5FF8"/>
    <w:rsid w:val="002D6A22"/>
    <w:rsid w:val="002D6F36"/>
    <w:rsid w:val="002D7C04"/>
    <w:rsid w:val="002E2D06"/>
    <w:rsid w:val="002F0E39"/>
    <w:rsid w:val="002F1B61"/>
    <w:rsid w:val="002F1EFE"/>
    <w:rsid w:val="002F2D1D"/>
    <w:rsid w:val="002F3161"/>
    <w:rsid w:val="002F3DE3"/>
    <w:rsid w:val="002F3EE1"/>
    <w:rsid w:val="002F4024"/>
    <w:rsid w:val="002F632E"/>
    <w:rsid w:val="00300846"/>
    <w:rsid w:val="00300847"/>
    <w:rsid w:val="0030418E"/>
    <w:rsid w:val="00305D2B"/>
    <w:rsid w:val="00305D3E"/>
    <w:rsid w:val="00310AF9"/>
    <w:rsid w:val="003121C7"/>
    <w:rsid w:val="00313DE2"/>
    <w:rsid w:val="0031431C"/>
    <w:rsid w:val="00315742"/>
    <w:rsid w:val="00315E59"/>
    <w:rsid w:val="003163B3"/>
    <w:rsid w:val="003175B7"/>
    <w:rsid w:val="003234BE"/>
    <w:rsid w:val="0032426D"/>
    <w:rsid w:val="003261F4"/>
    <w:rsid w:val="00327DBF"/>
    <w:rsid w:val="003311A7"/>
    <w:rsid w:val="003329AD"/>
    <w:rsid w:val="00334BAB"/>
    <w:rsid w:val="00336826"/>
    <w:rsid w:val="0033758C"/>
    <w:rsid w:val="00337DEB"/>
    <w:rsid w:val="0034009D"/>
    <w:rsid w:val="00341DEB"/>
    <w:rsid w:val="00343E8B"/>
    <w:rsid w:val="00344003"/>
    <w:rsid w:val="00345A75"/>
    <w:rsid w:val="00346A3D"/>
    <w:rsid w:val="00347626"/>
    <w:rsid w:val="00347DBE"/>
    <w:rsid w:val="00350C20"/>
    <w:rsid w:val="00350CC9"/>
    <w:rsid w:val="003548FA"/>
    <w:rsid w:val="00354C67"/>
    <w:rsid w:val="00355DE0"/>
    <w:rsid w:val="00355EDD"/>
    <w:rsid w:val="003560EF"/>
    <w:rsid w:val="003606E1"/>
    <w:rsid w:val="00360EC8"/>
    <w:rsid w:val="00361427"/>
    <w:rsid w:val="003617AB"/>
    <w:rsid w:val="00361CAA"/>
    <w:rsid w:val="003639D6"/>
    <w:rsid w:val="0036458B"/>
    <w:rsid w:val="003671E9"/>
    <w:rsid w:val="00367A05"/>
    <w:rsid w:val="003701DC"/>
    <w:rsid w:val="00371D2F"/>
    <w:rsid w:val="00372DE4"/>
    <w:rsid w:val="00375251"/>
    <w:rsid w:val="00376E70"/>
    <w:rsid w:val="00377410"/>
    <w:rsid w:val="00377724"/>
    <w:rsid w:val="003815E9"/>
    <w:rsid w:val="00381737"/>
    <w:rsid w:val="00381889"/>
    <w:rsid w:val="00384161"/>
    <w:rsid w:val="003848FD"/>
    <w:rsid w:val="003849E2"/>
    <w:rsid w:val="00385ACE"/>
    <w:rsid w:val="003869C9"/>
    <w:rsid w:val="00387610"/>
    <w:rsid w:val="00387661"/>
    <w:rsid w:val="00390216"/>
    <w:rsid w:val="0039066D"/>
    <w:rsid w:val="00392609"/>
    <w:rsid w:val="00394433"/>
    <w:rsid w:val="003973D3"/>
    <w:rsid w:val="0039741F"/>
    <w:rsid w:val="003A0892"/>
    <w:rsid w:val="003A221E"/>
    <w:rsid w:val="003A2905"/>
    <w:rsid w:val="003A37D4"/>
    <w:rsid w:val="003A3A22"/>
    <w:rsid w:val="003A449E"/>
    <w:rsid w:val="003A4CB0"/>
    <w:rsid w:val="003A71F3"/>
    <w:rsid w:val="003B1302"/>
    <w:rsid w:val="003B191A"/>
    <w:rsid w:val="003B19F5"/>
    <w:rsid w:val="003B1CBF"/>
    <w:rsid w:val="003B205C"/>
    <w:rsid w:val="003B22B3"/>
    <w:rsid w:val="003B28EC"/>
    <w:rsid w:val="003B34AC"/>
    <w:rsid w:val="003B3A45"/>
    <w:rsid w:val="003B5688"/>
    <w:rsid w:val="003B7063"/>
    <w:rsid w:val="003B7182"/>
    <w:rsid w:val="003C133F"/>
    <w:rsid w:val="003C225A"/>
    <w:rsid w:val="003C30B5"/>
    <w:rsid w:val="003C61C9"/>
    <w:rsid w:val="003C68D6"/>
    <w:rsid w:val="003C70C1"/>
    <w:rsid w:val="003D0D87"/>
    <w:rsid w:val="003D0E0A"/>
    <w:rsid w:val="003D27E9"/>
    <w:rsid w:val="003D31F5"/>
    <w:rsid w:val="003D5864"/>
    <w:rsid w:val="003D58E7"/>
    <w:rsid w:val="003D5C80"/>
    <w:rsid w:val="003D651F"/>
    <w:rsid w:val="003D6984"/>
    <w:rsid w:val="003D6E6C"/>
    <w:rsid w:val="003E0D61"/>
    <w:rsid w:val="003E107F"/>
    <w:rsid w:val="003E2E06"/>
    <w:rsid w:val="003F069F"/>
    <w:rsid w:val="003F0923"/>
    <w:rsid w:val="003F0B19"/>
    <w:rsid w:val="003F1DCD"/>
    <w:rsid w:val="003F3AC4"/>
    <w:rsid w:val="003F3E8E"/>
    <w:rsid w:val="003F5237"/>
    <w:rsid w:val="003F58D5"/>
    <w:rsid w:val="003F5DBC"/>
    <w:rsid w:val="003F6511"/>
    <w:rsid w:val="003F664E"/>
    <w:rsid w:val="003F704A"/>
    <w:rsid w:val="003F7709"/>
    <w:rsid w:val="003F7DBA"/>
    <w:rsid w:val="0040074F"/>
    <w:rsid w:val="00402307"/>
    <w:rsid w:val="00402B32"/>
    <w:rsid w:val="00405B31"/>
    <w:rsid w:val="00410C93"/>
    <w:rsid w:val="00411B4A"/>
    <w:rsid w:val="00413120"/>
    <w:rsid w:val="00413A99"/>
    <w:rsid w:val="00420AF3"/>
    <w:rsid w:val="00420D37"/>
    <w:rsid w:val="0042115B"/>
    <w:rsid w:val="004216F4"/>
    <w:rsid w:val="0042171A"/>
    <w:rsid w:val="00421B97"/>
    <w:rsid w:val="004225F3"/>
    <w:rsid w:val="00422B84"/>
    <w:rsid w:val="00423FFE"/>
    <w:rsid w:val="00426196"/>
    <w:rsid w:val="00430237"/>
    <w:rsid w:val="00431B03"/>
    <w:rsid w:val="00433431"/>
    <w:rsid w:val="00433A02"/>
    <w:rsid w:val="00435AC3"/>
    <w:rsid w:val="00435D41"/>
    <w:rsid w:val="00435F4B"/>
    <w:rsid w:val="004360AA"/>
    <w:rsid w:val="00440B92"/>
    <w:rsid w:val="00441A22"/>
    <w:rsid w:val="00441B91"/>
    <w:rsid w:val="004421FC"/>
    <w:rsid w:val="00444282"/>
    <w:rsid w:val="004465AF"/>
    <w:rsid w:val="004467EA"/>
    <w:rsid w:val="00446B74"/>
    <w:rsid w:val="00447D82"/>
    <w:rsid w:val="004507BA"/>
    <w:rsid w:val="0045120E"/>
    <w:rsid w:val="00451D13"/>
    <w:rsid w:val="00451DAA"/>
    <w:rsid w:val="00454B89"/>
    <w:rsid w:val="00454D6F"/>
    <w:rsid w:val="00455107"/>
    <w:rsid w:val="004568CB"/>
    <w:rsid w:val="00457FBD"/>
    <w:rsid w:val="00462878"/>
    <w:rsid w:val="004633BB"/>
    <w:rsid w:val="004638F6"/>
    <w:rsid w:val="00463C09"/>
    <w:rsid w:val="00464754"/>
    <w:rsid w:val="00464AA5"/>
    <w:rsid w:val="00465AE4"/>
    <w:rsid w:val="00466763"/>
    <w:rsid w:val="00476311"/>
    <w:rsid w:val="00477B81"/>
    <w:rsid w:val="00477C82"/>
    <w:rsid w:val="004814F7"/>
    <w:rsid w:val="00481605"/>
    <w:rsid w:val="00484CAC"/>
    <w:rsid w:val="004853CB"/>
    <w:rsid w:val="004861BA"/>
    <w:rsid w:val="00486514"/>
    <w:rsid w:val="00487E80"/>
    <w:rsid w:val="0049042B"/>
    <w:rsid w:val="0049076C"/>
    <w:rsid w:val="00491A46"/>
    <w:rsid w:val="004946F5"/>
    <w:rsid w:val="00494D9F"/>
    <w:rsid w:val="00495032"/>
    <w:rsid w:val="004953EC"/>
    <w:rsid w:val="004958AE"/>
    <w:rsid w:val="00496178"/>
    <w:rsid w:val="004974A6"/>
    <w:rsid w:val="004A0950"/>
    <w:rsid w:val="004A0DE1"/>
    <w:rsid w:val="004A2410"/>
    <w:rsid w:val="004A27AC"/>
    <w:rsid w:val="004A30CC"/>
    <w:rsid w:val="004A3E6E"/>
    <w:rsid w:val="004A6882"/>
    <w:rsid w:val="004B2BCB"/>
    <w:rsid w:val="004B3357"/>
    <w:rsid w:val="004B348D"/>
    <w:rsid w:val="004B42E6"/>
    <w:rsid w:val="004B7A70"/>
    <w:rsid w:val="004C0813"/>
    <w:rsid w:val="004C1DD0"/>
    <w:rsid w:val="004C2686"/>
    <w:rsid w:val="004C3F9B"/>
    <w:rsid w:val="004C626D"/>
    <w:rsid w:val="004C64E4"/>
    <w:rsid w:val="004D048C"/>
    <w:rsid w:val="004D06C1"/>
    <w:rsid w:val="004D1FF3"/>
    <w:rsid w:val="004D368F"/>
    <w:rsid w:val="004D3C99"/>
    <w:rsid w:val="004D54E6"/>
    <w:rsid w:val="004D6AA2"/>
    <w:rsid w:val="004D6E3D"/>
    <w:rsid w:val="004D76D1"/>
    <w:rsid w:val="004D790A"/>
    <w:rsid w:val="004E0519"/>
    <w:rsid w:val="004E1A9C"/>
    <w:rsid w:val="004E26C8"/>
    <w:rsid w:val="004E36A1"/>
    <w:rsid w:val="004E3E00"/>
    <w:rsid w:val="004E55DB"/>
    <w:rsid w:val="004E5810"/>
    <w:rsid w:val="004F1563"/>
    <w:rsid w:val="004F1686"/>
    <w:rsid w:val="004F169C"/>
    <w:rsid w:val="004F204A"/>
    <w:rsid w:val="004F3D31"/>
    <w:rsid w:val="004F43F8"/>
    <w:rsid w:val="004F5289"/>
    <w:rsid w:val="004F5411"/>
    <w:rsid w:val="004F5B88"/>
    <w:rsid w:val="004F713B"/>
    <w:rsid w:val="004F7303"/>
    <w:rsid w:val="005010A7"/>
    <w:rsid w:val="0050114A"/>
    <w:rsid w:val="005017BF"/>
    <w:rsid w:val="00502982"/>
    <w:rsid w:val="00502B2F"/>
    <w:rsid w:val="005033BC"/>
    <w:rsid w:val="005044AF"/>
    <w:rsid w:val="00504779"/>
    <w:rsid w:val="00504FF5"/>
    <w:rsid w:val="00506840"/>
    <w:rsid w:val="00512D00"/>
    <w:rsid w:val="00513703"/>
    <w:rsid w:val="00514179"/>
    <w:rsid w:val="00515426"/>
    <w:rsid w:val="005155DE"/>
    <w:rsid w:val="00515F06"/>
    <w:rsid w:val="00516D72"/>
    <w:rsid w:val="00516DE9"/>
    <w:rsid w:val="00520A91"/>
    <w:rsid w:val="00521D7E"/>
    <w:rsid w:val="00522116"/>
    <w:rsid w:val="00523C52"/>
    <w:rsid w:val="00523F98"/>
    <w:rsid w:val="00524664"/>
    <w:rsid w:val="005263CA"/>
    <w:rsid w:val="005305EA"/>
    <w:rsid w:val="00530BD3"/>
    <w:rsid w:val="00531CFB"/>
    <w:rsid w:val="005333CD"/>
    <w:rsid w:val="005335B9"/>
    <w:rsid w:val="00535A1B"/>
    <w:rsid w:val="00535A80"/>
    <w:rsid w:val="00535C92"/>
    <w:rsid w:val="00536FC0"/>
    <w:rsid w:val="00537FFC"/>
    <w:rsid w:val="005406AF"/>
    <w:rsid w:val="00540701"/>
    <w:rsid w:val="00540D42"/>
    <w:rsid w:val="0054131B"/>
    <w:rsid w:val="0054319D"/>
    <w:rsid w:val="005449CE"/>
    <w:rsid w:val="00544BF0"/>
    <w:rsid w:val="00544D18"/>
    <w:rsid w:val="005460D5"/>
    <w:rsid w:val="00546487"/>
    <w:rsid w:val="0054768A"/>
    <w:rsid w:val="00547DF6"/>
    <w:rsid w:val="00550012"/>
    <w:rsid w:val="00550652"/>
    <w:rsid w:val="00551904"/>
    <w:rsid w:val="00551BF1"/>
    <w:rsid w:val="005534AB"/>
    <w:rsid w:val="005537C3"/>
    <w:rsid w:val="0055613F"/>
    <w:rsid w:val="0055763D"/>
    <w:rsid w:val="005611EC"/>
    <w:rsid w:val="00561499"/>
    <w:rsid w:val="0056180A"/>
    <w:rsid w:val="005619E3"/>
    <w:rsid w:val="00561DEF"/>
    <w:rsid w:val="0056273B"/>
    <w:rsid w:val="00563DCD"/>
    <w:rsid w:val="005646D4"/>
    <w:rsid w:val="00564888"/>
    <w:rsid w:val="00565869"/>
    <w:rsid w:val="00566A85"/>
    <w:rsid w:val="00567161"/>
    <w:rsid w:val="00571184"/>
    <w:rsid w:val="005716CD"/>
    <w:rsid w:val="00573AE3"/>
    <w:rsid w:val="00573B9C"/>
    <w:rsid w:val="00575DB9"/>
    <w:rsid w:val="00577854"/>
    <w:rsid w:val="00581389"/>
    <w:rsid w:val="0058176B"/>
    <w:rsid w:val="0058269C"/>
    <w:rsid w:val="00583644"/>
    <w:rsid w:val="005863E2"/>
    <w:rsid w:val="00587EA0"/>
    <w:rsid w:val="005902D9"/>
    <w:rsid w:val="00590939"/>
    <w:rsid w:val="00591CA1"/>
    <w:rsid w:val="00593282"/>
    <w:rsid w:val="005943F5"/>
    <w:rsid w:val="005948EA"/>
    <w:rsid w:val="00594D0D"/>
    <w:rsid w:val="00595867"/>
    <w:rsid w:val="00596146"/>
    <w:rsid w:val="00596AB7"/>
    <w:rsid w:val="00596C7C"/>
    <w:rsid w:val="00597E5C"/>
    <w:rsid w:val="005A1EA7"/>
    <w:rsid w:val="005A20A6"/>
    <w:rsid w:val="005A24A4"/>
    <w:rsid w:val="005A53CF"/>
    <w:rsid w:val="005A5552"/>
    <w:rsid w:val="005A64DC"/>
    <w:rsid w:val="005B0210"/>
    <w:rsid w:val="005B1E46"/>
    <w:rsid w:val="005B36FA"/>
    <w:rsid w:val="005C0FD0"/>
    <w:rsid w:val="005C3BC6"/>
    <w:rsid w:val="005C42AC"/>
    <w:rsid w:val="005C4BEE"/>
    <w:rsid w:val="005C4F84"/>
    <w:rsid w:val="005C6174"/>
    <w:rsid w:val="005D1143"/>
    <w:rsid w:val="005D406C"/>
    <w:rsid w:val="005D46F9"/>
    <w:rsid w:val="005D703E"/>
    <w:rsid w:val="005D794C"/>
    <w:rsid w:val="005E1354"/>
    <w:rsid w:val="005E23C1"/>
    <w:rsid w:val="005E365A"/>
    <w:rsid w:val="005E6355"/>
    <w:rsid w:val="005E7212"/>
    <w:rsid w:val="005F2273"/>
    <w:rsid w:val="005F2A9E"/>
    <w:rsid w:val="005F54AB"/>
    <w:rsid w:val="006001B3"/>
    <w:rsid w:val="0060022A"/>
    <w:rsid w:val="0060157D"/>
    <w:rsid w:val="00604416"/>
    <w:rsid w:val="00604BAC"/>
    <w:rsid w:val="00606A72"/>
    <w:rsid w:val="00606A8A"/>
    <w:rsid w:val="006102C0"/>
    <w:rsid w:val="00610C5E"/>
    <w:rsid w:val="00610EE0"/>
    <w:rsid w:val="006122FC"/>
    <w:rsid w:val="006127DE"/>
    <w:rsid w:val="00612E3E"/>
    <w:rsid w:val="00613410"/>
    <w:rsid w:val="00614A2E"/>
    <w:rsid w:val="00614F54"/>
    <w:rsid w:val="00615788"/>
    <w:rsid w:val="00615C01"/>
    <w:rsid w:val="00617986"/>
    <w:rsid w:val="00621636"/>
    <w:rsid w:val="0062272F"/>
    <w:rsid w:val="00623D75"/>
    <w:rsid w:val="0062401B"/>
    <w:rsid w:val="00624387"/>
    <w:rsid w:val="00625051"/>
    <w:rsid w:val="00627013"/>
    <w:rsid w:val="00627693"/>
    <w:rsid w:val="006320CD"/>
    <w:rsid w:val="00632169"/>
    <w:rsid w:val="00632D5E"/>
    <w:rsid w:val="00633451"/>
    <w:rsid w:val="006339C6"/>
    <w:rsid w:val="0063461F"/>
    <w:rsid w:val="00635ADC"/>
    <w:rsid w:val="006362BC"/>
    <w:rsid w:val="00647736"/>
    <w:rsid w:val="0064782D"/>
    <w:rsid w:val="0065052D"/>
    <w:rsid w:val="00651F43"/>
    <w:rsid w:val="006528EF"/>
    <w:rsid w:val="00652C18"/>
    <w:rsid w:val="006535C3"/>
    <w:rsid w:val="00654A48"/>
    <w:rsid w:val="00654BD0"/>
    <w:rsid w:val="0065627F"/>
    <w:rsid w:val="0065651B"/>
    <w:rsid w:val="00656800"/>
    <w:rsid w:val="006568E8"/>
    <w:rsid w:val="0065747A"/>
    <w:rsid w:val="00657D08"/>
    <w:rsid w:val="0066308F"/>
    <w:rsid w:val="00664607"/>
    <w:rsid w:val="006647AF"/>
    <w:rsid w:val="00670089"/>
    <w:rsid w:val="0067231A"/>
    <w:rsid w:val="00673151"/>
    <w:rsid w:val="00673C25"/>
    <w:rsid w:val="00675516"/>
    <w:rsid w:val="00680EE6"/>
    <w:rsid w:val="0068380D"/>
    <w:rsid w:val="00684A0B"/>
    <w:rsid w:val="00684CA3"/>
    <w:rsid w:val="00684E51"/>
    <w:rsid w:val="00685128"/>
    <w:rsid w:val="00686511"/>
    <w:rsid w:val="006872F4"/>
    <w:rsid w:val="00687689"/>
    <w:rsid w:val="00690F9A"/>
    <w:rsid w:val="00694397"/>
    <w:rsid w:val="00696510"/>
    <w:rsid w:val="00696C82"/>
    <w:rsid w:val="006A000F"/>
    <w:rsid w:val="006A06FB"/>
    <w:rsid w:val="006A0D51"/>
    <w:rsid w:val="006A100B"/>
    <w:rsid w:val="006A1D0C"/>
    <w:rsid w:val="006A3285"/>
    <w:rsid w:val="006A355F"/>
    <w:rsid w:val="006A50BA"/>
    <w:rsid w:val="006A5A8E"/>
    <w:rsid w:val="006A6168"/>
    <w:rsid w:val="006B14E2"/>
    <w:rsid w:val="006B1975"/>
    <w:rsid w:val="006B3454"/>
    <w:rsid w:val="006B5D4E"/>
    <w:rsid w:val="006B72DE"/>
    <w:rsid w:val="006B7632"/>
    <w:rsid w:val="006B7FA8"/>
    <w:rsid w:val="006C09ED"/>
    <w:rsid w:val="006C2771"/>
    <w:rsid w:val="006C27DC"/>
    <w:rsid w:val="006C3146"/>
    <w:rsid w:val="006C37A9"/>
    <w:rsid w:val="006C5170"/>
    <w:rsid w:val="006C5FC1"/>
    <w:rsid w:val="006C6B33"/>
    <w:rsid w:val="006C7274"/>
    <w:rsid w:val="006C7941"/>
    <w:rsid w:val="006C7D9B"/>
    <w:rsid w:val="006D27C3"/>
    <w:rsid w:val="006D32B6"/>
    <w:rsid w:val="006D39A5"/>
    <w:rsid w:val="006D44E1"/>
    <w:rsid w:val="006D4F6C"/>
    <w:rsid w:val="006D59C3"/>
    <w:rsid w:val="006D5DDF"/>
    <w:rsid w:val="006D6958"/>
    <w:rsid w:val="006E15F0"/>
    <w:rsid w:val="006E21FA"/>
    <w:rsid w:val="006E26F8"/>
    <w:rsid w:val="006E77F7"/>
    <w:rsid w:val="006F030A"/>
    <w:rsid w:val="006F0FB7"/>
    <w:rsid w:val="006F4207"/>
    <w:rsid w:val="006F4904"/>
    <w:rsid w:val="006F548E"/>
    <w:rsid w:val="00700063"/>
    <w:rsid w:val="007019CD"/>
    <w:rsid w:val="0070218E"/>
    <w:rsid w:val="007035F1"/>
    <w:rsid w:val="00704E5D"/>
    <w:rsid w:val="00705739"/>
    <w:rsid w:val="00706A1B"/>
    <w:rsid w:val="00706A5F"/>
    <w:rsid w:val="007105A6"/>
    <w:rsid w:val="00710AB7"/>
    <w:rsid w:val="007153C2"/>
    <w:rsid w:val="00716A7D"/>
    <w:rsid w:val="00720E20"/>
    <w:rsid w:val="00721E46"/>
    <w:rsid w:val="0072236B"/>
    <w:rsid w:val="00722989"/>
    <w:rsid w:val="00724D1F"/>
    <w:rsid w:val="00725A95"/>
    <w:rsid w:val="00726088"/>
    <w:rsid w:val="00726D11"/>
    <w:rsid w:val="00727114"/>
    <w:rsid w:val="00730B6A"/>
    <w:rsid w:val="00731B50"/>
    <w:rsid w:val="00731F09"/>
    <w:rsid w:val="00733725"/>
    <w:rsid w:val="007344CE"/>
    <w:rsid w:val="007358D4"/>
    <w:rsid w:val="00735FE5"/>
    <w:rsid w:val="007362A6"/>
    <w:rsid w:val="007369DE"/>
    <w:rsid w:val="00736D88"/>
    <w:rsid w:val="00736DD2"/>
    <w:rsid w:val="00737C68"/>
    <w:rsid w:val="00740386"/>
    <w:rsid w:val="00744068"/>
    <w:rsid w:val="0074505C"/>
    <w:rsid w:val="00746481"/>
    <w:rsid w:val="0074681C"/>
    <w:rsid w:val="00746EC2"/>
    <w:rsid w:val="00747F2F"/>
    <w:rsid w:val="00751941"/>
    <w:rsid w:val="007541C9"/>
    <w:rsid w:val="007564D3"/>
    <w:rsid w:val="00756D44"/>
    <w:rsid w:val="007627D2"/>
    <w:rsid w:val="00762E4E"/>
    <w:rsid w:val="007631D1"/>
    <w:rsid w:val="00764DD0"/>
    <w:rsid w:val="007659A7"/>
    <w:rsid w:val="00765A05"/>
    <w:rsid w:val="00770515"/>
    <w:rsid w:val="00770D17"/>
    <w:rsid w:val="00771905"/>
    <w:rsid w:val="00775DDC"/>
    <w:rsid w:val="00776E77"/>
    <w:rsid w:val="007778AE"/>
    <w:rsid w:val="00781C48"/>
    <w:rsid w:val="007831FE"/>
    <w:rsid w:val="00783397"/>
    <w:rsid w:val="00785B61"/>
    <w:rsid w:val="00785CF9"/>
    <w:rsid w:val="00785FB3"/>
    <w:rsid w:val="007861E7"/>
    <w:rsid w:val="007864B9"/>
    <w:rsid w:val="00790A6C"/>
    <w:rsid w:val="007930C4"/>
    <w:rsid w:val="007959AC"/>
    <w:rsid w:val="007A1825"/>
    <w:rsid w:val="007A20E0"/>
    <w:rsid w:val="007A2AD2"/>
    <w:rsid w:val="007B028D"/>
    <w:rsid w:val="007B1037"/>
    <w:rsid w:val="007B2204"/>
    <w:rsid w:val="007B3497"/>
    <w:rsid w:val="007B55CD"/>
    <w:rsid w:val="007B7533"/>
    <w:rsid w:val="007B7559"/>
    <w:rsid w:val="007C00C9"/>
    <w:rsid w:val="007C0B9F"/>
    <w:rsid w:val="007C470E"/>
    <w:rsid w:val="007C482E"/>
    <w:rsid w:val="007C52D4"/>
    <w:rsid w:val="007C6296"/>
    <w:rsid w:val="007C6EA9"/>
    <w:rsid w:val="007C7375"/>
    <w:rsid w:val="007D0EB3"/>
    <w:rsid w:val="007D1A91"/>
    <w:rsid w:val="007D3A0A"/>
    <w:rsid w:val="007D52CB"/>
    <w:rsid w:val="007D6247"/>
    <w:rsid w:val="007D6325"/>
    <w:rsid w:val="007D7AE0"/>
    <w:rsid w:val="007E01C7"/>
    <w:rsid w:val="007E0545"/>
    <w:rsid w:val="007E0BD6"/>
    <w:rsid w:val="007E12BB"/>
    <w:rsid w:val="007E19A9"/>
    <w:rsid w:val="007E460B"/>
    <w:rsid w:val="007E5F0A"/>
    <w:rsid w:val="007F02BD"/>
    <w:rsid w:val="007F19CA"/>
    <w:rsid w:val="007F1BC7"/>
    <w:rsid w:val="007F424B"/>
    <w:rsid w:val="007F4EF9"/>
    <w:rsid w:val="007F5E79"/>
    <w:rsid w:val="007F6914"/>
    <w:rsid w:val="0080379A"/>
    <w:rsid w:val="00803DE1"/>
    <w:rsid w:val="00804B78"/>
    <w:rsid w:val="00805789"/>
    <w:rsid w:val="00806318"/>
    <w:rsid w:val="00806C91"/>
    <w:rsid w:val="008076D2"/>
    <w:rsid w:val="0081156A"/>
    <w:rsid w:val="00811FE4"/>
    <w:rsid w:val="008126B2"/>
    <w:rsid w:val="008170EE"/>
    <w:rsid w:val="0082057F"/>
    <w:rsid w:val="00821159"/>
    <w:rsid w:val="0082217C"/>
    <w:rsid w:val="00827398"/>
    <w:rsid w:val="0082775A"/>
    <w:rsid w:val="00827906"/>
    <w:rsid w:val="0083056A"/>
    <w:rsid w:val="00830C7A"/>
    <w:rsid w:val="00830F0A"/>
    <w:rsid w:val="0083161F"/>
    <w:rsid w:val="008317A5"/>
    <w:rsid w:val="008336B9"/>
    <w:rsid w:val="00835EAC"/>
    <w:rsid w:val="00837CF7"/>
    <w:rsid w:val="00837FDE"/>
    <w:rsid w:val="0084225D"/>
    <w:rsid w:val="00842974"/>
    <w:rsid w:val="008457AC"/>
    <w:rsid w:val="008531B5"/>
    <w:rsid w:val="0085550A"/>
    <w:rsid w:val="00857882"/>
    <w:rsid w:val="008603C0"/>
    <w:rsid w:val="00860698"/>
    <w:rsid w:val="008612A4"/>
    <w:rsid w:val="00861421"/>
    <w:rsid w:val="008616EF"/>
    <w:rsid w:val="00863C25"/>
    <w:rsid w:val="0086451A"/>
    <w:rsid w:val="00865ED5"/>
    <w:rsid w:val="008703D5"/>
    <w:rsid w:val="008719B0"/>
    <w:rsid w:val="0087210F"/>
    <w:rsid w:val="00873E09"/>
    <w:rsid w:val="00873E5F"/>
    <w:rsid w:val="0087476D"/>
    <w:rsid w:val="00874D5C"/>
    <w:rsid w:val="00874E4E"/>
    <w:rsid w:val="00875A42"/>
    <w:rsid w:val="0087602E"/>
    <w:rsid w:val="00876DB5"/>
    <w:rsid w:val="00883F27"/>
    <w:rsid w:val="008871F9"/>
    <w:rsid w:val="0088756A"/>
    <w:rsid w:val="008904A8"/>
    <w:rsid w:val="0089108F"/>
    <w:rsid w:val="00892716"/>
    <w:rsid w:val="00892D0A"/>
    <w:rsid w:val="0089421C"/>
    <w:rsid w:val="008A06F8"/>
    <w:rsid w:val="008A1632"/>
    <w:rsid w:val="008A3835"/>
    <w:rsid w:val="008A3A4F"/>
    <w:rsid w:val="008A3E5C"/>
    <w:rsid w:val="008A409E"/>
    <w:rsid w:val="008A4BFB"/>
    <w:rsid w:val="008A51BE"/>
    <w:rsid w:val="008A52BE"/>
    <w:rsid w:val="008A5A07"/>
    <w:rsid w:val="008A6A0D"/>
    <w:rsid w:val="008A7FA0"/>
    <w:rsid w:val="008B0641"/>
    <w:rsid w:val="008B0E5F"/>
    <w:rsid w:val="008B0FE2"/>
    <w:rsid w:val="008B1E44"/>
    <w:rsid w:val="008B43AE"/>
    <w:rsid w:val="008B55DB"/>
    <w:rsid w:val="008B7A9C"/>
    <w:rsid w:val="008B7EC1"/>
    <w:rsid w:val="008C02D0"/>
    <w:rsid w:val="008C0490"/>
    <w:rsid w:val="008C0937"/>
    <w:rsid w:val="008C0B29"/>
    <w:rsid w:val="008C1101"/>
    <w:rsid w:val="008C1632"/>
    <w:rsid w:val="008C2C04"/>
    <w:rsid w:val="008C4856"/>
    <w:rsid w:val="008C510F"/>
    <w:rsid w:val="008C54B9"/>
    <w:rsid w:val="008C680D"/>
    <w:rsid w:val="008C77AA"/>
    <w:rsid w:val="008D079E"/>
    <w:rsid w:val="008D0D96"/>
    <w:rsid w:val="008D0DB9"/>
    <w:rsid w:val="008D0E8D"/>
    <w:rsid w:val="008D0FE6"/>
    <w:rsid w:val="008D3EE7"/>
    <w:rsid w:val="008D6823"/>
    <w:rsid w:val="008E00B7"/>
    <w:rsid w:val="008E3E82"/>
    <w:rsid w:val="008E52A1"/>
    <w:rsid w:val="008E66B8"/>
    <w:rsid w:val="008F0A37"/>
    <w:rsid w:val="008F1010"/>
    <w:rsid w:val="008F1988"/>
    <w:rsid w:val="008F5010"/>
    <w:rsid w:val="008F57AF"/>
    <w:rsid w:val="00900034"/>
    <w:rsid w:val="009001C2"/>
    <w:rsid w:val="009023F3"/>
    <w:rsid w:val="00903196"/>
    <w:rsid w:val="009037F9"/>
    <w:rsid w:val="0090383C"/>
    <w:rsid w:val="00903D64"/>
    <w:rsid w:val="0090485B"/>
    <w:rsid w:val="00910EAB"/>
    <w:rsid w:val="00912132"/>
    <w:rsid w:val="00914F83"/>
    <w:rsid w:val="00915A2F"/>
    <w:rsid w:val="00916135"/>
    <w:rsid w:val="00920922"/>
    <w:rsid w:val="00922FAD"/>
    <w:rsid w:val="00923A2A"/>
    <w:rsid w:val="0092435F"/>
    <w:rsid w:val="00924F0A"/>
    <w:rsid w:val="0092602C"/>
    <w:rsid w:val="00926416"/>
    <w:rsid w:val="0092708B"/>
    <w:rsid w:val="009272E8"/>
    <w:rsid w:val="00932E2B"/>
    <w:rsid w:val="00934165"/>
    <w:rsid w:val="009347F4"/>
    <w:rsid w:val="009358A2"/>
    <w:rsid w:val="0093639A"/>
    <w:rsid w:val="00936AF6"/>
    <w:rsid w:val="0093758E"/>
    <w:rsid w:val="00937713"/>
    <w:rsid w:val="00941C37"/>
    <w:rsid w:val="009435BB"/>
    <w:rsid w:val="00943C3F"/>
    <w:rsid w:val="00944EF0"/>
    <w:rsid w:val="0094581E"/>
    <w:rsid w:val="00945AC5"/>
    <w:rsid w:val="0094695B"/>
    <w:rsid w:val="00951641"/>
    <w:rsid w:val="00953EDC"/>
    <w:rsid w:val="009543BB"/>
    <w:rsid w:val="00954B36"/>
    <w:rsid w:val="00955F6B"/>
    <w:rsid w:val="009564B3"/>
    <w:rsid w:val="009567F6"/>
    <w:rsid w:val="00956D66"/>
    <w:rsid w:val="00957316"/>
    <w:rsid w:val="009575AF"/>
    <w:rsid w:val="00961EF3"/>
    <w:rsid w:val="00961FA1"/>
    <w:rsid w:val="00965E95"/>
    <w:rsid w:val="00966820"/>
    <w:rsid w:val="00971511"/>
    <w:rsid w:val="00971570"/>
    <w:rsid w:val="00972FC1"/>
    <w:rsid w:val="00973339"/>
    <w:rsid w:val="00974762"/>
    <w:rsid w:val="0097507E"/>
    <w:rsid w:val="0097534C"/>
    <w:rsid w:val="00980037"/>
    <w:rsid w:val="00983B43"/>
    <w:rsid w:val="00983E51"/>
    <w:rsid w:val="009849E8"/>
    <w:rsid w:val="00984DE0"/>
    <w:rsid w:val="00985677"/>
    <w:rsid w:val="009856DB"/>
    <w:rsid w:val="00985B32"/>
    <w:rsid w:val="00990240"/>
    <w:rsid w:val="00990C95"/>
    <w:rsid w:val="0099133F"/>
    <w:rsid w:val="009914B8"/>
    <w:rsid w:val="009931F4"/>
    <w:rsid w:val="00996396"/>
    <w:rsid w:val="00996481"/>
    <w:rsid w:val="00996931"/>
    <w:rsid w:val="009A3BDA"/>
    <w:rsid w:val="009A4A0F"/>
    <w:rsid w:val="009A666E"/>
    <w:rsid w:val="009A6C2C"/>
    <w:rsid w:val="009A76D3"/>
    <w:rsid w:val="009B0902"/>
    <w:rsid w:val="009B18CB"/>
    <w:rsid w:val="009B33EA"/>
    <w:rsid w:val="009B406E"/>
    <w:rsid w:val="009B442A"/>
    <w:rsid w:val="009B4C2E"/>
    <w:rsid w:val="009B55F8"/>
    <w:rsid w:val="009B6414"/>
    <w:rsid w:val="009C063E"/>
    <w:rsid w:val="009C1D2F"/>
    <w:rsid w:val="009C3034"/>
    <w:rsid w:val="009D0399"/>
    <w:rsid w:val="009D065B"/>
    <w:rsid w:val="009D2B11"/>
    <w:rsid w:val="009D3367"/>
    <w:rsid w:val="009E2EB3"/>
    <w:rsid w:val="009E36D5"/>
    <w:rsid w:val="009E6431"/>
    <w:rsid w:val="009E6932"/>
    <w:rsid w:val="009E737D"/>
    <w:rsid w:val="009F37D1"/>
    <w:rsid w:val="009F5C8D"/>
    <w:rsid w:val="009F5F77"/>
    <w:rsid w:val="009F79BB"/>
    <w:rsid w:val="009F7FC5"/>
    <w:rsid w:val="00A02D72"/>
    <w:rsid w:val="00A0385B"/>
    <w:rsid w:val="00A03977"/>
    <w:rsid w:val="00A06789"/>
    <w:rsid w:val="00A06AF9"/>
    <w:rsid w:val="00A06E92"/>
    <w:rsid w:val="00A0769E"/>
    <w:rsid w:val="00A11013"/>
    <w:rsid w:val="00A11FF0"/>
    <w:rsid w:val="00A127D2"/>
    <w:rsid w:val="00A1376C"/>
    <w:rsid w:val="00A13E2B"/>
    <w:rsid w:val="00A1444C"/>
    <w:rsid w:val="00A14BCF"/>
    <w:rsid w:val="00A16F4B"/>
    <w:rsid w:val="00A204D7"/>
    <w:rsid w:val="00A20C26"/>
    <w:rsid w:val="00A20C8B"/>
    <w:rsid w:val="00A21202"/>
    <w:rsid w:val="00A21365"/>
    <w:rsid w:val="00A225FF"/>
    <w:rsid w:val="00A231F6"/>
    <w:rsid w:val="00A24ABD"/>
    <w:rsid w:val="00A25278"/>
    <w:rsid w:val="00A26FF7"/>
    <w:rsid w:val="00A27DF9"/>
    <w:rsid w:val="00A32756"/>
    <w:rsid w:val="00A34724"/>
    <w:rsid w:val="00A3759A"/>
    <w:rsid w:val="00A40080"/>
    <w:rsid w:val="00A404F8"/>
    <w:rsid w:val="00A4122D"/>
    <w:rsid w:val="00A412FD"/>
    <w:rsid w:val="00A445DC"/>
    <w:rsid w:val="00A44BEA"/>
    <w:rsid w:val="00A45EF8"/>
    <w:rsid w:val="00A46D88"/>
    <w:rsid w:val="00A46EFE"/>
    <w:rsid w:val="00A47779"/>
    <w:rsid w:val="00A51ED2"/>
    <w:rsid w:val="00A542CD"/>
    <w:rsid w:val="00A559CF"/>
    <w:rsid w:val="00A60C7C"/>
    <w:rsid w:val="00A61142"/>
    <w:rsid w:val="00A61405"/>
    <w:rsid w:val="00A614F7"/>
    <w:rsid w:val="00A61FBA"/>
    <w:rsid w:val="00A6208F"/>
    <w:rsid w:val="00A62934"/>
    <w:rsid w:val="00A63E71"/>
    <w:rsid w:val="00A64368"/>
    <w:rsid w:val="00A65591"/>
    <w:rsid w:val="00A656DB"/>
    <w:rsid w:val="00A65805"/>
    <w:rsid w:val="00A66B83"/>
    <w:rsid w:val="00A711C6"/>
    <w:rsid w:val="00A718AE"/>
    <w:rsid w:val="00A767FF"/>
    <w:rsid w:val="00A76C4B"/>
    <w:rsid w:val="00A779C8"/>
    <w:rsid w:val="00A801A4"/>
    <w:rsid w:val="00A84863"/>
    <w:rsid w:val="00A86603"/>
    <w:rsid w:val="00A86861"/>
    <w:rsid w:val="00A87A5A"/>
    <w:rsid w:val="00A905E0"/>
    <w:rsid w:val="00A91AE3"/>
    <w:rsid w:val="00A947AF"/>
    <w:rsid w:val="00A947C1"/>
    <w:rsid w:val="00A95D95"/>
    <w:rsid w:val="00A962E1"/>
    <w:rsid w:val="00A977EC"/>
    <w:rsid w:val="00AA1D6B"/>
    <w:rsid w:val="00AA2624"/>
    <w:rsid w:val="00AA3FD1"/>
    <w:rsid w:val="00AA51CC"/>
    <w:rsid w:val="00AA6BDA"/>
    <w:rsid w:val="00AB168E"/>
    <w:rsid w:val="00AB2073"/>
    <w:rsid w:val="00AB2318"/>
    <w:rsid w:val="00AB26BD"/>
    <w:rsid w:val="00AB2FE4"/>
    <w:rsid w:val="00AB468A"/>
    <w:rsid w:val="00AB4DD0"/>
    <w:rsid w:val="00AB5DB3"/>
    <w:rsid w:val="00AB5ED3"/>
    <w:rsid w:val="00AB61EF"/>
    <w:rsid w:val="00AB649E"/>
    <w:rsid w:val="00AB6B0C"/>
    <w:rsid w:val="00AB70CD"/>
    <w:rsid w:val="00AB78A4"/>
    <w:rsid w:val="00AC0204"/>
    <w:rsid w:val="00AC16BB"/>
    <w:rsid w:val="00AC4870"/>
    <w:rsid w:val="00AC48B3"/>
    <w:rsid w:val="00AC51D6"/>
    <w:rsid w:val="00AC5F22"/>
    <w:rsid w:val="00AC62B7"/>
    <w:rsid w:val="00AC7AC9"/>
    <w:rsid w:val="00AD0106"/>
    <w:rsid w:val="00AD2E9D"/>
    <w:rsid w:val="00AD306C"/>
    <w:rsid w:val="00AD3508"/>
    <w:rsid w:val="00AD4CB5"/>
    <w:rsid w:val="00AD5318"/>
    <w:rsid w:val="00AD56A0"/>
    <w:rsid w:val="00AD61A2"/>
    <w:rsid w:val="00AD6A2E"/>
    <w:rsid w:val="00AD7A61"/>
    <w:rsid w:val="00AD7B7B"/>
    <w:rsid w:val="00AD7FEF"/>
    <w:rsid w:val="00AE0173"/>
    <w:rsid w:val="00AE0D69"/>
    <w:rsid w:val="00AE1920"/>
    <w:rsid w:val="00AE2790"/>
    <w:rsid w:val="00AE3753"/>
    <w:rsid w:val="00AE58B7"/>
    <w:rsid w:val="00AE62DA"/>
    <w:rsid w:val="00AE6BA1"/>
    <w:rsid w:val="00AF01B3"/>
    <w:rsid w:val="00AF0F13"/>
    <w:rsid w:val="00AF17E1"/>
    <w:rsid w:val="00AF185B"/>
    <w:rsid w:val="00AF1EB2"/>
    <w:rsid w:val="00AF2250"/>
    <w:rsid w:val="00AF381E"/>
    <w:rsid w:val="00AF4132"/>
    <w:rsid w:val="00AF4748"/>
    <w:rsid w:val="00AF48FE"/>
    <w:rsid w:val="00AF4D05"/>
    <w:rsid w:val="00AF7671"/>
    <w:rsid w:val="00AF7685"/>
    <w:rsid w:val="00AF7992"/>
    <w:rsid w:val="00B00AB3"/>
    <w:rsid w:val="00B04E13"/>
    <w:rsid w:val="00B0672D"/>
    <w:rsid w:val="00B112B1"/>
    <w:rsid w:val="00B13FFC"/>
    <w:rsid w:val="00B14C52"/>
    <w:rsid w:val="00B1576A"/>
    <w:rsid w:val="00B160B7"/>
    <w:rsid w:val="00B16317"/>
    <w:rsid w:val="00B16EDE"/>
    <w:rsid w:val="00B16F8D"/>
    <w:rsid w:val="00B1747A"/>
    <w:rsid w:val="00B200AA"/>
    <w:rsid w:val="00B21B05"/>
    <w:rsid w:val="00B22E72"/>
    <w:rsid w:val="00B245B9"/>
    <w:rsid w:val="00B301A7"/>
    <w:rsid w:val="00B3146D"/>
    <w:rsid w:val="00B31854"/>
    <w:rsid w:val="00B3241F"/>
    <w:rsid w:val="00B32DEF"/>
    <w:rsid w:val="00B34F91"/>
    <w:rsid w:val="00B36951"/>
    <w:rsid w:val="00B3786C"/>
    <w:rsid w:val="00B4061B"/>
    <w:rsid w:val="00B41D25"/>
    <w:rsid w:val="00B429B3"/>
    <w:rsid w:val="00B4329B"/>
    <w:rsid w:val="00B43AFB"/>
    <w:rsid w:val="00B452A1"/>
    <w:rsid w:val="00B464FA"/>
    <w:rsid w:val="00B46BC6"/>
    <w:rsid w:val="00B478C3"/>
    <w:rsid w:val="00B50B25"/>
    <w:rsid w:val="00B5147E"/>
    <w:rsid w:val="00B51785"/>
    <w:rsid w:val="00B51BC5"/>
    <w:rsid w:val="00B51F09"/>
    <w:rsid w:val="00B52552"/>
    <w:rsid w:val="00B538C9"/>
    <w:rsid w:val="00B53BE4"/>
    <w:rsid w:val="00B55840"/>
    <w:rsid w:val="00B578DC"/>
    <w:rsid w:val="00B61348"/>
    <w:rsid w:val="00B6263F"/>
    <w:rsid w:val="00B64217"/>
    <w:rsid w:val="00B666ED"/>
    <w:rsid w:val="00B67114"/>
    <w:rsid w:val="00B67CF3"/>
    <w:rsid w:val="00B67F75"/>
    <w:rsid w:val="00B706A6"/>
    <w:rsid w:val="00B7149F"/>
    <w:rsid w:val="00B716AD"/>
    <w:rsid w:val="00B7254C"/>
    <w:rsid w:val="00B73488"/>
    <w:rsid w:val="00B7489A"/>
    <w:rsid w:val="00B75396"/>
    <w:rsid w:val="00B75449"/>
    <w:rsid w:val="00B765C3"/>
    <w:rsid w:val="00B7726F"/>
    <w:rsid w:val="00B77FB4"/>
    <w:rsid w:val="00B80828"/>
    <w:rsid w:val="00B81991"/>
    <w:rsid w:val="00B82589"/>
    <w:rsid w:val="00B826BE"/>
    <w:rsid w:val="00B846F7"/>
    <w:rsid w:val="00B84C56"/>
    <w:rsid w:val="00B84FA8"/>
    <w:rsid w:val="00B8621D"/>
    <w:rsid w:val="00B8661B"/>
    <w:rsid w:val="00B866D2"/>
    <w:rsid w:val="00B8705A"/>
    <w:rsid w:val="00B90628"/>
    <w:rsid w:val="00B90B36"/>
    <w:rsid w:val="00B9454D"/>
    <w:rsid w:val="00B94D09"/>
    <w:rsid w:val="00B94F83"/>
    <w:rsid w:val="00B9722F"/>
    <w:rsid w:val="00BA162D"/>
    <w:rsid w:val="00BA1C0D"/>
    <w:rsid w:val="00BA3005"/>
    <w:rsid w:val="00BA31F3"/>
    <w:rsid w:val="00BA34A0"/>
    <w:rsid w:val="00BA3C38"/>
    <w:rsid w:val="00BA466A"/>
    <w:rsid w:val="00BA527C"/>
    <w:rsid w:val="00BA6887"/>
    <w:rsid w:val="00BA69FA"/>
    <w:rsid w:val="00BA7D3E"/>
    <w:rsid w:val="00BB0DB5"/>
    <w:rsid w:val="00BB29D0"/>
    <w:rsid w:val="00BB32A6"/>
    <w:rsid w:val="00BB59B9"/>
    <w:rsid w:val="00BB7494"/>
    <w:rsid w:val="00BB7887"/>
    <w:rsid w:val="00BC1293"/>
    <w:rsid w:val="00BC142F"/>
    <w:rsid w:val="00BC166F"/>
    <w:rsid w:val="00BC22DE"/>
    <w:rsid w:val="00BC293F"/>
    <w:rsid w:val="00BC2C35"/>
    <w:rsid w:val="00BC397C"/>
    <w:rsid w:val="00BC3AED"/>
    <w:rsid w:val="00BC7495"/>
    <w:rsid w:val="00BC7687"/>
    <w:rsid w:val="00BD027C"/>
    <w:rsid w:val="00BD08C3"/>
    <w:rsid w:val="00BD0B17"/>
    <w:rsid w:val="00BD11C6"/>
    <w:rsid w:val="00BD1E29"/>
    <w:rsid w:val="00BD2DF9"/>
    <w:rsid w:val="00BD5511"/>
    <w:rsid w:val="00BD606E"/>
    <w:rsid w:val="00BD7E76"/>
    <w:rsid w:val="00BE07A9"/>
    <w:rsid w:val="00BE0D32"/>
    <w:rsid w:val="00BE4A9E"/>
    <w:rsid w:val="00BF0962"/>
    <w:rsid w:val="00BF0E21"/>
    <w:rsid w:val="00BF28E5"/>
    <w:rsid w:val="00BF4DB3"/>
    <w:rsid w:val="00BF5230"/>
    <w:rsid w:val="00C00485"/>
    <w:rsid w:val="00C01A7D"/>
    <w:rsid w:val="00C025D9"/>
    <w:rsid w:val="00C02D7A"/>
    <w:rsid w:val="00C03664"/>
    <w:rsid w:val="00C05325"/>
    <w:rsid w:val="00C05775"/>
    <w:rsid w:val="00C05AD2"/>
    <w:rsid w:val="00C067CF"/>
    <w:rsid w:val="00C06B7F"/>
    <w:rsid w:val="00C1090C"/>
    <w:rsid w:val="00C13FED"/>
    <w:rsid w:val="00C15A51"/>
    <w:rsid w:val="00C21A1A"/>
    <w:rsid w:val="00C22063"/>
    <w:rsid w:val="00C236A4"/>
    <w:rsid w:val="00C240C8"/>
    <w:rsid w:val="00C26513"/>
    <w:rsid w:val="00C30C9E"/>
    <w:rsid w:val="00C324D4"/>
    <w:rsid w:val="00C33699"/>
    <w:rsid w:val="00C33990"/>
    <w:rsid w:val="00C35631"/>
    <w:rsid w:val="00C37F72"/>
    <w:rsid w:val="00C420C1"/>
    <w:rsid w:val="00C4260B"/>
    <w:rsid w:val="00C439B7"/>
    <w:rsid w:val="00C443AF"/>
    <w:rsid w:val="00C45963"/>
    <w:rsid w:val="00C472B8"/>
    <w:rsid w:val="00C47573"/>
    <w:rsid w:val="00C50650"/>
    <w:rsid w:val="00C50C81"/>
    <w:rsid w:val="00C51352"/>
    <w:rsid w:val="00C53124"/>
    <w:rsid w:val="00C53B2E"/>
    <w:rsid w:val="00C53D34"/>
    <w:rsid w:val="00C54AA6"/>
    <w:rsid w:val="00C54ED0"/>
    <w:rsid w:val="00C556B6"/>
    <w:rsid w:val="00C56F57"/>
    <w:rsid w:val="00C600C7"/>
    <w:rsid w:val="00C60629"/>
    <w:rsid w:val="00C6095A"/>
    <w:rsid w:val="00C61526"/>
    <w:rsid w:val="00C6160A"/>
    <w:rsid w:val="00C62AA3"/>
    <w:rsid w:val="00C63EE4"/>
    <w:rsid w:val="00C651BC"/>
    <w:rsid w:val="00C65303"/>
    <w:rsid w:val="00C66D2A"/>
    <w:rsid w:val="00C67F52"/>
    <w:rsid w:val="00C700EB"/>
    <w:rsid w:val="00C713F7"/>
    <w:rsid w:val="00C7171B"/>
    <w:rsid w:val="00C717CF"/>
    <w:rsid w:val="00C71D23"/>
    <w:rsid w:val="00C72F64"/>
    <w:rsid w:val="00C73275"/>
    <w:rsid w:val="00C74870"/>
    <w:rsid w:val="00C74989"/>
    <w:rsid w:val="00C764BB"/>
    <w:rsid w:val="00C76768"/>
    <w:rsid w:val="00C77BE5"/>
    <w:rsid w:val="00C80E60"/>
    <w:rsid w:val="00C80EC0"/>
    <w:rsid w:val="00C812AA"/>
    <w:rsid w:val="00C81B11"/>
    <w:rsid w:val="00C82CE0"/>
    <w:rsid w:val="00C83466"/>
    <w:rsid w:val="00C84E04"/>
    <w:rsid w:val="00C85C2E"/>
    <w:rsid w:val="00C86953"/>
    <w:rsid w:val="00C86B99"/>
    <w:rsid w:val="00C87152"/>
    <w:rsid w:val="00C90569"/>
    <w:rsid w:val="00C910BE"/>
    <w:rsid w:val="00C922BE"/>
    <w:rsid w:val="00CA171A"/>
    <w:rsid w:val="00CA1A57"/>
    <w:rsid w:val="00CA1B4E"/>
    <w:rsid w:val="00CA34B7"/>
    <w:rsid w:val="00CA4666"/>
    <w:rsid w:val="00CA46FF"/>
    <w:rsid w:val="00CA7415"/>
    <w:rsid w:val="00CB1F00"/>
    <w:rsid w:val="00CB22E8"/>
    <w:rsid w:val="00CB2396"/>
    <w:rsid w:val="00CB265C"/>
    <w:rsid w:val="00CB2F8C"/>
    <w:rsid w:val="00CB4396"/>
    <w:rsid w:val="00CB5B61"/>
    <w:rsid w:val="00CB5E15"/>
    <w:rsid w:val="00CB7A07"/>
    <w:rsid w:val="00CC23D3"/>
    <w:rsid w:val="00CC2C56"/>
    <w:rsid w:val="00CC2DC7"/>
    <w:rsid w:val="00CC4215"/>
    <w:rsid w:val="00CC4D4D"/>
    <w:rsid w:val="00CC5327"/>
    <w:rsid w:val="00CC59BB"/>
    <w:rsid w:val="00CC71D9"/>
    <w:rsid w:val="00CD4759"/>
    <w:rsid w:val="00CD635D"/>
    <w:rsid w:val="00CD783B"/>
    <w:rsid w:val="00CD7CED"/>
    <w:rsid w:val="00CE04C7"/>
    <w:rsid w:val="00CE0994"/>
    <w:rsid w:val="00CE0C09"/>
    <w:rsid w:val="00CE531B"/>
    <w:rsid w:val="00CE5610"/>
    <w:rsid w:val="00CF156B"/>
    <w:rsid w:val="00CF1712"/>
    <w:rsid w:val="00CF1E02"/>
    <w:rsid w:val="00CF25E8"/>
    <w:rsid w:val="00CF3081"/>
    <w:rsid w:val="00CF3A53"/>
    <w:rsid w:val="00CF3BD6"/>
    <w:rsid w:val="00CF3F17"/>
    <w:rsid w:val="00CF597A"/>
    <w:rsid w:val="00CF642F"/>
    <w:rsid w:val="00CF65C6"/>
    <w:rsid w:val="00D002B0"/>
    <w:rsid w:val="00D05BAA"/>
    <w:rsid w:val="00D05F99"/>
    <w:rsid w:val="00D07D0B"/>
    <w:rsid w:val="00D10513"/>
    <w:rsid w:val="00D10E8E"/>
    <w:rsid w:val="00D10FC7"/>
    <w:rsid w:val="00D136C7"/>
    <w:rsid w:val="00D13B7A"/>
    <w:rsid w:val="00D16D6D"/>
    <w:rsid w:val="00D17C1E"/>
    <w:rsid w:val="00D17C3E"/>
    <w:rsid w:val="00D17CD8"/>
    <w:rsid w:val="00D204F4"/>
    <w:rsid w:val="00D20812"/>
    <w:rsid w:val="00D22C4B"/>
    <w:rsid w:val="00D230C7"/>
    <w:rsid w:val="00D23E7D"/>
    <w:rsid w:val="00D2405F"/>
    <w:rsid w:val="00D242B6"/>
    <w:rsid w:val="00D25173"/>
    <w:rsid w:val="00D259FC"/>
    <w:rsid w:val="00D25FD0"/>
    <w:rsid w:val="00D2633B"/>
    <w:rsid w:val="00D2744B"/>
    <w:rsid w:val="00D27A99"/>
    <w:rsid w:val="00D30C7F"/>
    <w:rsid w:val="00D31856"/>
    <w:rsid w:val="00D32BD9"/>
    <w:rsid w:val="00D33365"/>
    <w:rsid w:val="00D348C5"/>
    <w:rsid w:val="00D34956"/>
    <w:rsid w:val="00D35505"/>
    <w:rsid w:val="00D35F23"/>
    <w:rsid w:val="00D36AA6"/>
    <w:rsid w:val="00D41BA9"/>
    <w:rsid w:val="00D42E12"/>
    <w:rsid w:val="00D43521"/>
    <w:rsid w:val="00D5215A"/>
    <w:rsid w:val="00D52359"/>
    <w:rsid w:val="00D533F6"/>
    <w:rsid w:val="00D54D4D"/>
    <w:rsid w:val="00D568DC"/>
    <w:rsid w:val="00D56E74"/>
    <w:rsid w:val="00D578AB"/>
    <w:rsid w:val="00D60BA7"/>
    <w:rsid w:val="00D612C2"/>
    <w:rsid w:val="00D6322C"/>
    <w:rsid w:val="00D636C0"/>
    <w:rsid w:val="00D63D34"/>
    <w:rsid w:val="00D640C0"/>
    <w:rsid w:val="00D64919"/>
    <w:rsid w:val="00D65916"/>
    <w:rsid w:val="00D65F0A"/>
    <w:rsid w:val="00D66525"/>
    <w:rsid w:val="00D701AF"/>
    <w:rsid w:val="00D71BD4"/>
    <w:rsid w:val="00D72AEA"/>
    <w:rsid w:val="00D745E0"/>
    <w:rsid w:val="00D745FF"/>
    <w:rsid w:val="00D763DC"/>
    <w:rsid w:val="00D76524"/>
    <w:rsid w:val="00D76AA3"/>
    <w:rsid w:val="00D80604"/>
    <w:rsid w:val="00D833CD"/>
    <w:rsid w:val="00D835EE"/>
    <w:rsid w:val="00D8400F"/>
    <w:rsid w:val="00D9162B"/>
    <w:rsid w:val="00D92E09"/>
    <w:rsid w:val="00D93B76"/>
    <w:rsid w:val="00D971BC"/>
    <w:rsid w:val="00D97BE9"/>
    <w:rsid w:val="00DA00BA"/>
    <w:rsid w:val="00DA086B"/>
    <w:rsid w:val="00DA243C"/>
    <w:rsid w:val="00DA3D57"/>
    <w:rsid w:val="00DA4CBE"/>
    <w:rsid w:val="00DA6A3A"/>
    <w:rsid w:val="00DA7507"/>
    <w:rsid w:val="00DA7E05"/>
    <w:rsid w:val="00DB18A9"/>
    <w:rsid w:val="00DB1CE8"/>
    <w:rsid w:val="00DB2021"/>
    <w:rsid w:val="00DB473D"/>
    <w:rsid w:val="00DB4794"/>
    <w:rsid w:val="00DB4DFA"/>
    <w:rsid w:val="00DB5C3E"/>
    <w:rsid w:val="00DB5E8E"/>
    <w:rsid w:val="00DB628E"/>
    <w:rsid w:val="00DB709D"/>
    <w:rsid w:val="00DB75A3"/>
    <w:rsid w:val="00DC06B6"/>
    <w:rsid w:val="00DC1C2C"/>
    <w:rsid w:val="00DC253E"/>
    <w:rsid w:val="00DC5EC5"/>
    <w:rsid w:val="00DC664B"/>
    <w:rsid w:val="00DC6B34"/>
    <w:rsid w:val="00DD0BC0"/>
    <w:rsid w:val="00DD0EA1"/>
    <w:rsid w:val="00DD13A7"/>
    <w:rsid w:val="00DD3DAC"/>
    <w:rsid w:val="00DD402C"/>
    <w:rsid w:val="00DD65D9"/>
    <w:rsid w:val="00DE028A"/>
    <w:rsid w:val="00DE0CA9"/>
    <w:rsid w:val="00DE3D49"/>
    <w:rsid w:val="00DE4527"/>
    <w:rsid w:val="00DE4D1A"/>
    <w:rsid w:val="00DE4DBF"/>
    <w:rsid w:val="00DE60B8"/>
    <w:rsid w:val="00DE60EA"/>
    <w:rsid w:val="00DE7813"/>
    <w:rsid w:val="00DE7E77"/>
    <w:rsid w:val="00DF180E"/>
    <w:rsid w:val="00DF1D5A"/>
    <w:rsid w:val="00DF5698"/>
    <w:rsid w:val="00DF782C"/>
    <w:rsid w:val="00E011DF"/>
    <w:rsid w:val="00E030A0"/>
    <w:rsid w:val="00E03426"/>
    <w:rsid w:val="00E0375C"/>
    <w:rsid w:val="00E04025"/>
    <w:rsid w:val="00E05AAC"/>
    <w:rsid w:val="00E064F1"/>
    <w:rsid w:val="00E06B62"/>
    <w:rsid w:val="00E07DE3"/>
    <w:rsid w:val="00E10C65"/>
    <w:rsid w:val="00E110F8"/>
    <w:rsid w:val="00E11206"/>
    <w:rsid w:val="00E124E3"/>
    <w:rsid w:val="00E12E8A"/>
    <w:rsid w:val="00E1387F"/>
    <w:rsid w:val="00E14812"/>
    <w:rsid w:val="00E14F69"/>
    <w:rsid w:val="00E15112"/>
    <w:rsid w:val="00E1588D"/>
    <w:rsid w:val="00E15DDE"/>
    <w:rsid w:val="00E16E70"/>
    <w:rsid w:val="00E2029F"/>
    <w:rsid w:val="00E208E5"/>
    <w:rsid w:val="00E20E7B"/>
    <w:rsid w:val="00E2120B"/>
    <w:rsid w:val="00E22895"/>
    <w:rsid w:val="00E22F2C"/>
    <w:rsid w:val="00E2318E"/>
    <w:rsid w:val="00E2339E"/>
    <w:rsid w:val="00E23400"/>
    <w:rsid w:val="00E2376B"/>
    <w:rsid w:val="00E2729D"/>
    <w:rsid w:val="00E3036B"/>
    <w:rsid w:val="00E30919"/>
    <w:rsid w:val="00E31935"/>
    <w:rsid w:val="00E3245B"/>
    <w:rsid w:val="00E32908"/>
    <w:rsid w:val="00E32DF1"/>
    <w:rsid w:val="00E3373C"/>
    <w:rsid w:val="00E33A52"/>
    <w:rsid w:val="00E343E8"/>
    <w:rsid w:val="00E3559B"/>
    <w:rsid w:val="00E3600B"/>
    <w:rsid w:val="00E3611E"/>
    <w:rsid w:val="00E36508"/>
    <w:rsid w:val="00E3707B"/>
    <w:rsid w:val="00E3714A"/>
    <w:rsid w:val="00E4202C"/>
    <w:rsid w:val="00E47544"/>
    <w:rsid w:val="00E5058B"/>
    <w:rsid w:val="00E50685"/>
    <w:rsid w:val="00E51188"/>
    <w:rsid w:val="00E516AE"/>
    <w:rsid w:val="00E52640"/>
    <w:rsid w:val="00E52956"/>
    <w:rsid w:val="00E54EB1"/>
    <w:rsid w:val="00E54FE2"/>
    <w:rsid w:val="00E5662C"/>
    <w:rsid w:val="00E56C8F"/>
    <w:rsid w:val="00E57F6B"/>
    <w:rsid w:val="00E60D23"/>
    <w:rsid w:val="00E62AF8"/>
    <w:rsid w:val="00E63724"/>
    <w:rsid w:val="00E6488E"/>
    <w:rsid w:val="00E64D66"/>
    <w:rsid w:val="00E713EC"/>
    <w:rsid w:val="00E72A6E"/>
    <w:rsid w:val="00E7342C"/>
    <w:rsid w:val="00E73848"/>
    <w:rsid w:val="00E767FA"/>
    <w:rsid w:val="00E8062C"/>
    <w:rsid w:val="00E80A59"/>
    <w:rsid w:val="00E80F32"/>
    <w:rsid w:val="00E813D6"/>
    <w:rsid w:val="00E8308C"/>
    <w:rsid w:val="00E8403D"/>
    <w:rsid w:val="00E8444E"/>
    <w:rsid w:val="00E84944"/>
    <w:rsid w:val="00E84DB1"/>
    <w:rsid w:val="00E85F74"/>
    <w:rsid w:val="00E861C7"/>
    <w:rsid w:val="00E86FD1"/>
    <w:rsid w:val="00E87430"/>
    <w:rsid w:val="00E939CA"/>
    <w:rsid w:val="00E93AB1"/>
    <w:rsid w:val="00E93B93"/>
    <w:rsid w:val="00E94C38"/>
    <w:rsid w:val="00E95B3F"/>
    <w:rsid w:val="00EA010E"/>
    <w:rsid w:val="00EA14D0"/>
    <w:rsid w:val="00EA19FE"/>
    <w:rsid w:val="00EA22D3"/>
    <w:rsid w:val="00EA42D1"/>
    <w:rsid w:val="00EA4DB1"/>
    <w:rsid w:val="00EA5D67"/>
    <w:rsid w:val="00EA66F9"/>
    <w:rsid w:val="00EA69EC"/>
    <w:rsid w:val="00EA7E4C"/>
    <w:rsid w:val="00EB00D9"/>
    <w:rsid w:val="00EB0630"/>
    <w:rsid w:val="00EB1B39"/>
    <w:rsid w:val="00EB1E33"/>
    <w:rsid w:val="00EB2026"/>
    <w:rsid w:val="00EB4EF6"/>
    <w:rsid w:val="00EB673E"/>
    <w:rsid w:val="00EB7FE2"/>
    <w:rsid w:val="00EC036A"/>
    <w:rsid w:val="00EC0881"/>
    <w:rsid w:val="00EC1AAF"/>
    <w:rsid w:val="00EC24A7"/>
    <w:rsid w:val="00EC3506"/>
    <w:rsid w:val="00EC49FF"/>
    <w:rsid w:val="00EC4DF2"/>
    <w:rsid w:val="00EC72A9"/>
    <w:rsid w:val="00ED0656"/>
    <w:rsid w:val="00ED0F6F"/>
    <w:rsid w:val="00ED178B"/>
    <w:rsid w:val="00ED3B17"/>
    <w:rsid w:val="00ED434B"/>
    <w:rsid w:val="00EE0599"/>
    <w:rsid w:val="00EE1542"/>
    <w:rsid w:val="00EE3E3F"/>
    <w:rsid w:val="00EE4A5F"/>
    <w:rsid w:val="00EE4F1E"/>
    <w:rsid w:val="00EE4FF4"/>
    <w:rsid w:val="00EE77A3"/>
    <w:rsid w:val="00EF07B9"/>
    <w:rsid w:val="00EF08E5"/>
    <w:rsid w:val="00EF2DA6"/>
    <w:rsid w:val="00EF41EB"/>
    <w:rsid w:val="00EF587E"/>
    <w:rsid w:val="00EF67D5"/>
    <w:rsid w:val="00EF7407"/>
    <w:rsid w:val="00F001C5"/>
    <w:rsid w:val="00F00527"/>
    <w:rsid w:val="00F0141D"/>
    <w:rsid w:val="00F044CB"/>
    <w:rsid w:val="00F061C6"/>
    <w:rsid w:val="00F06681"/>
    <w:rsid w:val="00F0711F"/>
    <w:rsid w:val="00F11185"/>
    <w:rsid w:val="00F1548E"/>
    <w:rsid w:val="00F15AC9"/>
    <w:rsid w:val="00F20987"/>
    <w:rsid w:val="00F23E34"/>
    <w:rsid w:val="00F251C3"/>
    <w:rsid w:val="00F26958"/>
    <w:rsid w:val="00F26E84"/>
    <w:rsid w:val="00F26E89"/>
    <w:rsid w:val="00F272C1"/>
    <w:rsid w:val="00F30C3E"/>
    <w:rsid w:val="00F31166"/>
    <w:rsid w:val="00F32141"/>
    <w:rsid w:val="00F32621"/>
    <w:rsid w:val="00F33222"/>
    <w:rsid w:val="00F33718"/>
    <w:rsid w:val="00F33CAB"/>
    <w:rsid w:val="00F35457"/>
    <w:rsid w:val="00F3595B"/>
    <w:rsid w:val="00F359E9"/>
    <w:rsid w:val="00F426A6"/>
    <w:rsid w:val="00F428BA"/>
    <w:rsid w:val="00F429FD"/>
    <w:rsid w:val="00F462C8"/>
    <w:rsid w:val="00F465A0"/>
    <w:rsid w:val="00F466CD"/>
    <w:rsid w:val="00F50275"/>
    <w:rsid w:val="00F511EF"/>
    <w:rsid w:val="00F543F1"/>
    <w:rsid w:val="00F54C7A"/>
    <w:rsid w:val="00F55B65"/>
    <w:rsid w:val="00F56238"/>
    <w:rsid w:val="00F56399"/>
    <w:rsid w:val="00F57F97"/>
    <w:rsid w:val="00F60884"/>
    <w:rsid w:val="00F61040"/>
    <w:rsid w:val="00F71D5B"/>
    <w:rsid w:val="00F75036"/>
    <w:rsid w:val="00F75107"/>
    <w:rsid w:val="00F7629E"/>
    <w:rsid w:val="00F76D6B"/>
    <w:rsid w:val="00F7750A"/>
    <w:rsid w:val="00F776B6"/>
    <w:rsid w:val="00F80006"/>
    <w:rsid w:val="00F80084"/>
    <w:rsid w:val="00F80240"/>
    <w:rsid w:val="00F80ACA"/>
    <w:rsid w:val="00F80DE9"/>
    <w:rsid w:val="00F812B9"/>
    <w:rsid w:val="00F82B54"/>
    <w:rsid w:val="00F83200"/>
    <w:rsid w:val="00F8331A"/>
    <w:rsid w:val="00F835DF"/>
    <w:rsid w:val="00F8390A"/>
    <w:rsid w:val="00F85963"/>
    <w:rsid w:val="00F8668B"/>
    <w:rsid w:val="00F86A0B"/>
    <w:rsid w:val="00F86F20"/>
    <w:rsid w:val="00F8717C"/>
    <w:rsid w:val="00F8794B"/>
    <w:rsid w:val="00F87DBA"/>
    <w:rsid w:val="00F90A8F"/>
    <w:rsid w:val="00F92B29"/>
    <w:rsid w:val="00F93BA1"/>
    <w:rsid w:val="00F95676"/>
    <w:rsid w:val="00F965A6"/>
    <w:rsid w:val="00FA0B70"/>
    <w:rsid w:val="00FA0DFB"/>
    <w:rsid w:val="00FA13F2"/>
    <w:rsid w:val="00FA1E98"/>
    <w:rsid w:val="00FA2315"/>
    <w:rsid w:val="00FA37AE"/>
    <w:rsid w:val="00FA5082"/>
    <w:rsid w:val="00FA5FF6"/>
    <w:rsid w:val="00FA6FDA"/>
    <w:rsid w:val="00FA750E"/>
    <w:rsid w:val="00FA78CA"/>
    <w:rsid w:val="00FA7AAD"/>
    <w:rsid w:val="00FA7D38"/>
    <w:rsid w:val="00FB06F8"/>
    <w:rsid w:val="00FB1135"/>
    <w:rsid w:val="00FB40AB"/>
    <w:rsid w:val="00FB50E5"/>
    <w:rsid w:val="00FB5D23"/>
    <w:rsid w:val="00FB640A"/>
    <w:rsid w:val="00FB6701"/>
    <w:rsid w:val="00FB78F3"/>
    <w:rsid w:val="00FC1457"/>
    <w:rsid w:val="00FC1862"/>
    <w:rsid w:val="00FC19F1"/>
    <w:rsid w:val="00FC1A62"/>
    <w:rsid w:val="00FC2632"/>
    <w:rsid w:val="00FC4824"/>
    <w:rsid w:val="00FC6432"/>
    <w:rsid w:val="00FC7090"/>
    <w:rsid w:val="00FD0B06"/>
    <w:rsid w:val="00FD0E7F"/>
    <w:rsid w:val="00FD128B"/>
    <w:rsid w:val="00FD2470"/>
    <w:rsid w:val="00FD2DFC"/>
    <w:rsid w:val="00FD5823"/>
    <w:rsid w:val="00FD7223"/>
    <w:rsid w:val="00FD7649"/>
    <w:rsid w:val="00FE0774"/>
    <w:rsid w:val="00FE1C27"/>
    <w:rsid w:val="00FE31EE"/>
    <w:rsid w:val="00FE4BFB"/>
    <w:rsid w:val="00FE5B44"/>
    <w:rsid w:val="00FE5C31"/>
    <w:rsid w:val="00FE62E9"/>
    <w:rsid w:val="00FE6725"/>
    <w:rsid w:val="00FE6887"/>
    <w:rsid w:val="00FF397D"/>
    <w:rsid w:val="00FF3F7B"/>
    <w:rsid w:val="00FF4E9E"/>
    <w:rsid w:val="00FF5306"/>
    <w:rsid w:val="00FF5CEF"/>
    <w:rsid w:val="00FF5E63"/>
    <w:rsid w:val="00FF71C7"/>
    <w:rsid w:val="00FF748B"/>
    <w:rsid w:val="0102695B"/>
    <w:rsid w:val="01064BAE"/>
    <w:rsid w:val="011078C7"/>
    <w:rsid w:val="01182EAB"/>
    <w:rsid w:val="01205C65"/>
    <w:rsid w:val="012A2737"/>
    <w:rsid w:val="01543C57"/>
    <w:rsid w:val="016731CC"/>
    <w:rsid w:val="016B400B"/>
    <w:rsid w:val="0174278E"/>
    <w:rsid w:val="018A62F7"/>
    <w:rsid w:val="018C0F88"/>
    <w:rsid w:val="019C5D18"/>
    <w:rsid w:val="019C6FD6"/>
    <w:rsid w:val="019E3587"/>
    <w:rsid w:val="019F1377"/>
    <w:rsid w:val="01A509E4"/>
    <w:rsid w:val="01C07F75"/>
    <w:rsid w:val="01C86AD7"/>
    <w:rsid w:val="01CA2618"/>
    <w:rsid w:val="01CE1767"/>
    <w:rsid w:val="01D0638F"/>
    <w:rsid w:val="01D26935"/>
    <w:rsid w:val="01DE04AC"/>
    <w:rsid w:val="01F40F97"/>
    <w:rsid w:val="01F62518"/>
    <w:rsid w:val="021F426D"/>
    <w:rsid w:val="022942C5"/>
    <w:rsid w:val="02396689"/>
    <w:rsid w:val="023F56A9"/>
    <w:rsid w:val="0246544B"/>
    <w:rsid w:val="025C6BBE"/>
    <w:rsid w:val="026020F9"/>
    <w:rsid w:val="0272419A"/>
    <w:rsid w:val="027258BB"/>
    <w:rsid w:val="0287330D"/>
    <w:rsid w:val="028B18FB"/>
    <w:rsid w:val="028C33D5"/>
    <w:rsid w:val="02B92F30"/>
    <w:rsid w:val="02B959A0"/>
    <w:rsid w:val="02B97CB1"/>
    <w:rsid w:val="02BF4EE6"/>
    <w:rsid w:val="02DF5F25"/>
    <w:rsid w:val="02F109A7"/>
    <w:rsid w:val="02F66717"/>
    <w:rsid w:val="031E08E0"/>
    <w:rsid w:val="03226822"/>
    <w:rsid w:val="03371DF0"/>
    <w:rsid w:val="034E016C"/>
    <w:rsid w:val="035D27DD"/>
    <w:rsid w:val="036653D5"/>
    <w:rsid w:val="0371791E"/>
    <w:rsid w:val="03A33C73"/>
    <w:rsid w:val="03C32ED6"/>
    <w:rsid w:val="03C409E4"/>
    <w:rsid w:val="03D20E5B"/>
    <w:rsid w:val="03D270B5"/>
    <w:rsid w:val="03EE3FB4"/>
    <w:rsid w:val="040670B9"/>
    <w:rsid w:val="040B4E00"/>
    <w:rsid w:val="040E7573"/>
    <w:rsid w:val="04155920"/>
    <w:rsid w:val="041C0AFC"/>
    <w:rsid w:val="0427099B"/>
    <w:rsid w:val="042D3915"/>
    <w:rsid w:val="042F79DE"/>
    <w:rsid w:val="04372BDC"/>
    <w:rsid w:val="04412B06"/>
    <w:rsid w:val="044A4AF4"/>
    <w:rsid w:val="04692C28"/>
    <w:rsid w:val="04865D63"/>
    <w:rsid w:val="04910D1F"/>
    <w:rsid w:val="049C1B9D"/>
    <w:rsid w:val="049F3E9B"/>
    <w:rsid w:val="04B05FE7"/>
    <w:rsid w:val="04B16923"/>
    <w:rsid w:val="04B616BF"/>
    <w:rsid w:val="04C37DD9"/>
    <w:rsid w:val="04D72996"/>
    <w:rsid w:val="04D76286"/>
    <w:rsid w:val="04F27A0F"/>
    <w:rsid w:val="04F64579"/>
    <w:rsid w:val="050F02D1"/>
    <w:rsid w:val="051A63A4"/>
    <w:rsid w:val="05290B83"/>
    <w:rsid w:val="055503A5"/>
    <w:rsid w:val="05571829"/>
    <w:rsid w:val="056E2389"/>
    <w:rsid w:val="05AC51E9"/>
    <w:rsid w:val="05B4330F"/>
    <w:rsid w:val="05B72239"/>
    <w:rsid w:val="05BE02F5"/>
    <w:rsid w:val="05BF6A7D"/>
    <w:rsid w:val="05C815FD"/>
    <w:rsid w:val="05C8750C"/>
    <w:rsid w:val="05E97B3D"/>
    <w:rsid w:val="05EC542D"/>
    <w:rsid w:val="06045D91"/>
    <w:rsid w:val="06083914"/>
    <w:rsid w:val="06281DE5"/>
    <w:rsid w:val="063D2B17"/>
    <w:rsid w:val="0641410F"/>
    <w:rsid w:val="06487A0B"/>
    <w:rsid w:val="064D00D7"/>
    <w:rsid w:val="065221DF"/>
    <w:rsid w:val="065E43B9"/>
    <w:rsid w:val="06715256"/>
    <w:rsid w:val="067D5F68"/>
    <w:rsid w:val="06812DAA"/>
    <w:rsid w:val="06836A00"/>
    <w:rsid w:val="06885B40"/>
    <w:rsid w:val="06921589"/>
    <w:rsid w:val="069C40D7"/>
    <w:rsid w:val="06A0668E"/>
    <w:rsid w:val="06A54B11"/>
    <w:rsid w:val="06BD7AA7"/>
    <w:rsid w:val="06C55CBB"/>
    <w:rsid w:val="06D373B0"/>
    <w:rsid w:val="07043F48"/>
    <w:rsid w:val="07167666"/>
    <w:rsid w:val="07177C01"/>
    <w:rsid w:val="07250E16"/>
    <w:rsid w:val="072E0AA7"/>
    <w:rsid w:val="074E2195"/>
    <w:rsid w:val="0755605C"/>
    <w:rsid w:val="0756098C"/>
    <w:rsid w:val="075726F9"/>
    <w:rsid w:val="079A5622"/>
    <w:rsid w:val="079D2C63"/>
    <w:rsid w:val="07BE53AC"/>
    <w:rsid w:val="07E4047C"/>
    <w:rsid w:val="07F43E1D"/>
    <w:rsid w:val="07F77FDF"/>
    <w:rsid w:val="08067383"/>
    <w:rsid w:val="080A4FDD"/>
    <w:rsid w:val="080D1893"/>
    <w:rsid w:val="082E2AD3"/>
    <w:rsid w:val="085D6E1A"/>
    <w:rsid w:val="086E2BFE"/>
    <w:rsid w:val="087F7B07"/>
    <w:rsid w:val="08B04745"/>
    <w:rsid w:val="08B357E9"/>
    <w:rsid w:val="08BD21E3"/>
    <w:rsid w:val="08C50593"/>
    <w:rsid w:val="08D9598B"/>
    <w:rsid w:val="08DA2519"/>
    <w:rsid w:val="08DE62AE"/>
    <w:rsid w:val="08E311FC"/>
    <w:rsid w:val="08EF5551"/>
    <w:rsid w:val="090917CB"/>
    <w:rsid w:val="091E032D"/>
    <w:rsid w:val="094339D3"/>
    <w:rsid w:val="09450B2C"/>
    <w:rsid w:val="09487FC7"/>
    <w:rsid w:val="09622D30"/>
    <w:rsid w:val="096407FB"/>
    <w:rsid w:val="096D0C61"/>
    <w:rsid w:val="09732517"/>
    <w:rsid w:val="09797110"/>
    <w:rsid w:val="09884470"/>
    <w:rsid w:val="0996314A"/>
    <w:rsid w:val="099C28FF"/>
    <w:rsid w:val="099D58E0"/>
    <w:rsid w:val="09A63E74"/>
    <w:rsid w:val="09B25744"/>
    <w:rsid w:val="09B568B1"/>
    <w:rsid w:val="09C1762B"/>
    <w:rsid w:val="09C56DD6"/>
    <w:rsid w:val="09D456BC"/>
    <w:rsid w:val="09DC59DD"/>
    <w:rsid w:val="09EA4C30"/>
    <w:rsid w:val="09F64785"/>
    <w:rsid w:val="0A0356BF"/>
    <w:rsid w:val="0A122902"/>
    <w:rsid w:val="0A153736"/>
    <w:rsid w:val="0A20394C"/>
    <w:rsid w:val="0A222D18"/>
    <w:rsid w:val="0A401D85"/>
    <w:rsid w:val="0A571108"/>
    <w:rsid w:val="0A854548"/>
    <w:rsid w:val="0A99053C"/>
    <w:rsid w:val="0A9C0F8E"/>
    <w:rsid w:val="0AAD7FAB"/>
    <w:rsid w:val="0AAF0151"/>
    <w:rsid w:val="0AC019D6"/>
    <w:rsid w:val="0ACB31DC"/>
    <w:rsid w:val="0ACD5A6F"/>
    <w:rsid w:val="0AD13018"/>
    <w:rsid w:val="0AE730E3"/>
    <w:rsid w:val="0AE83AEC"/>
    <w:rsid w:val="0AED5DDA"/>
    <w:rsid w:val="0AF527EA"/>
    <w:rsid w:val="0AFD5DF0"/>
    <w:rsid w:val="0B0A7090"/>
    <w:rsid w:val="0B555C49"/>
    <w:rsid w:val="0B7905FE"/>
    <w:rsid w:val="0B892DB0"/>
    <w:rsid w:val="0B921C7B"/>
    <w:rsid w:val="0B921DF1"/>
    <w:rsid w:val="0B96567C"/>
    <w:rsid w:val="0B9A20D4"/>
    <w:rsid w:val="0BAD2410"/>
    <w:rsid w:val="0BB034F4"/>
    <w:rsid w:val="0BB915FE"/>
    <w:rsid w:val="0BC028DC"/>
    <w:rsid w:val="0BC4119D"/>
    <w:rsid w:val="0BD03413"/>
    <w:rsid w:val="0BD30B07"/>
    <w:rsid w:val="0BE811C8"/>
    <w:rsid w:val="0BF2766F"/>
    <w:rsid w:val="0BFF0AE5"/>
    <w:rsid w:val="0BFF7F8F"/>
    <w:rsid w:val="0C01112F"/>
    <w:rsid w:val="0C045B2F"/>
    <w:rsid w:val="0C073896"/>
    <w:rsid w:val="0C0C4FCC"/>
    <w:rsid w:val="0C38568F"/>
    <w:rsid w:val="0C3920FE"/>
    <w:rsid w:val="0C395F24"/>
    <w:rsid w:val="0C3A5FD8"/>
    <w:rsid w:val="0C4042CF"/>
    <w:rsid w:val="0C4457D6"/>
    <w:rsid w:val="0C4D2794"/>
    <w:rsid w:val="0C510797"/>
    <w:rsid w:val="0C5225BF"/>
    <w:rsid w:val="0C690927"/>
    <w:rsid w:val="0C8A5C88"/>
    <w:rsid w:val="0C937D2A"/>
    <w:rsid w:val="0CAD0BC8"/>
    <w:rsid w:val="0CC2437D"/>
    <w:rsid w:val="0CCC27AC"/>
    <w:rsid w:val="0CCD48BE"/>
    <w:rsid w:val="0CED77A3"/>
    <w:rsid w:val="0D0849A7"/>
    <w:rsid w:val="0D0A78C0"/>
    <w:rsid w:val="0D3D55DC"/>
    <w:rsid w:val="0D562B05"/>
    <w:rsid w:val="0D6B280D"/>
    <w:rsid w:val="0D7F27A5"/>
    <w:rsid w:val="0D874514"/>
    <w:rsid w:val="0D8C5AA3"/>
    <w:rsid w:val="0D8F5263"/>
    <w:rsid w:val="0D9D34B1"/>
    <w:rsid w:val="0DA86139"/>
    <w:rsid w:val="0DC21815"/>
    <w:rsid w:val="0DC87537"/>
    <w:rsid w:val="0DCC32FD"/>
    <w:rsid w:val="0DD92294"/>
    <w:rsid w:val="0DE31AA5"/>
    <w:rsid w:val="0DE67EB1"/>
    <w:rsid w:val="0DEC4689"/>
    <w:rsid w:val="0E023512"/>
    <w:rsid w:val="0E1C3B82"/>
    <w:rsid w:val="0E1D5DB7"/>
    <w:rsid w:val="0E2D7D0A"/>
    <w:rsid w:val="0E3173C4"/>
    <w:rsid w:val="0E422334"/>
    <w:rsid w:val="0E430C95"/>
    <w:rsid w:val="0E5E5271"/>
    <w:rsid w:val="0E696A01"/>
    <w:rsid w:val="0E6F2E94"/>
    <w:rsid w:val="0E7271B7"/>
    <w:rsid w:val="0E774E01"/>
    <w:rsid w:val="0E83792A"/>
    <w:rsid w:val="0E9B2455"/>
    <w:rsid w:val="0EA87B9E"/>
    <w:rsid w:val="0EB31A6D"/>
    <w:rsid w:val="0EC57F43"/>
    <w:rsid w:val="0EE505E5"/>
    <w:rsid w:val="0EE95E93"/>
    <w:rsid w:val="0EED3BF2"/>
    <w:rsid w:val="0EF44384"/>
    <w:rsid w:val="0F097EF6"/>
    <w:rsid w:val="0F0D2950"/>
    <w:rsid w:val="0F1F390B"/>
    <w:rsid w:val="0F366888"/>
    <w:rsid w:val="0F3669C4"/>
    <w:rsid w:val="0F440741"/>
    <w:rsid w:val="0F4A38B9"/>
    <w:rsid w:val="0F4F4270"/>
    <w:rsid w:val="0F614EBC"/>
    <w:rsid w:val="0F760D51"/>
    <w:rsid w:val="0F7B6216"/>
    <w:rsid w:val="0F802974"/>
    <w:rsid w:val="0F9B156B"/>
    <w:rsid w:val="0FAA227D"/>
    <w:rsid w:val="0FB645E8"/>
    <w:rsid w:val="0FC24CAB"/>
    <w:rsid w:val="0FD44501"/>
    <w:rsid w:val="0FDE54DB"/>
    <w:rsid w:val="0FF22429"/>
    <w:rsid w:val="0FFC15D3"/>
    <w:rsid w:val="10013E8A"/>
    <w:rsid w:val="101051ED"/>
    <w:rsid w:val="10365FBB"/>
    <w:rsid w:val="103761ED"/>
    <w:rsid w:val="10380EB1"/>
    <w:rsid w:val="10382379"/>
    <w:rsid w:val="104A6951"/>
    <w:rsid w:val="10665B03"/>
    <w:rsid w:val="106F4B64"/>
    <w:rsid w:val="10826E6E"/>
    <w:rsid w:val="10981545"/>
    <w:rsid w:val="109C2F25"/>
    <w:rsid w:val="10BC0CB2"/>
    <w:rsid w:val="10F90377"/>
    <w:rsid w:val="11032501"/>
    <w:rsid w:val="110363A5"/>
    <w:rsid w:val="11052DBE"/>
    <w:rsid w:val="110633CA"/>
    <w:rsid w:val="11160C8F"/>
    <w:rsid w:val="111C308C"/>
    <w:rsid w:val="11276082"/>
    <w:rsid w:val="113349F9"/>
    <w:rsid w:val="114D0825"/>
    <w:rsid w:val="1155665B"/>
    <w:rsid w:val="115C42DC"/>
    <w:rsid w:val="11667A56"/>
    <w:rsid w:val="116F0780"/>
    <w:rsid w:val="117662B1"/>
    <w:rsid w:val="11B1166C"/>
    <w:rsid w:val="11B128F4"/>
    <w:rsid w:val="11B5581C"/>
    <w:rsid w:val="11BA0128"/>
    <w:rsid w:val="11DD5B44"/>
    <w:rsid w:val="11E54554"/>
    <w:rsid w:val="11EA0F3F"/>
    <w:rsid w:val="11EA5793"/>
    <w:rsid w:val="11EC0317"/>
    <w:rsid w:val="11EE7E40"/>
    <w:rsid w:val="11F126A5"/>
    <w:rsid w:val="11FC0DFE"/>
    <w:rsid w:val="12045932"/>
    <w:rsid w:val="120A4AC8"/>
    <w:rsid w:val="1224199E"/>
    <w:rsid w:val="12401EB3"/>
    <w:rsid w:val="12443874"/>
    <w:rsid w:val="12523164"/>
    <w:rsid w:val="12552BA2"/>
    <w:rsid w:val="125C5BC9"/>
    <w:rsid w:val="12631CC2"/>
    <w:rsid w:val="12676A5F"/>
    <w:rsid w:val="127535F0"/>
    <w:rsid w:val="128A17A1"/>
    <w:rsid w:val="12B039DD"/>
    <w:rsid w:val="12BD3859"/>
    <w:rsid w:val="12CA298B"/>
    <w:rsid w:val="12CB0B59"/>
    <w:rsid w:val="12D70B31"/>
    <w:rsid w:val="12DA3014"/>
    <w:rsid w:val="12EC00C0"/>
    <w:rsid w:val="12F40B77"/>
    <w:rsid w:val="1319627B"/>
    <w:rsid w:val="131A11F8"/>
    <w:rsid w:val="134775E5"/>
    <w:rsid w:val="134866CD"/>
    <w:rsid w:val="137B1928"/>
    <w:rsid w:val="1385255D"/>
    <w:rsid w:val="139323BD"/>
    <w:rsid w:val="1399374C"/>
    <w:rsid w:val="13A142AD"/>
    <w:rsid w:val="13B0536D"/>
    <w:rsid w:val="13C01D31"/>
    <w:rsid w:val="13C93F21"/>
    <w:rsid w:val="13CB3939"/>
    <w:rsid w:val="13D2127C"/>
    <w:rsid w:val="13DA6651"/>
    <w:rsid w:val="13FB70ED"/>
    <w:rsid w:val="13FC2006"/>
    <w:rsid w:val="13FF5855"/>
    <w:rsid w:val="140312D8"/>
    <w:rsid w:val="14085CAA"/>
    <w:rsid w:val="142B18B2"/>
    <w:rsid w:val="143A6CDD"/>
    <w:rsid w:val="14464DF9"/>
    <w:rsid w:val="14560F4C"/>
    <w:rsid w:val="14587163"/>
    <w:rsid w:val="14740F3D"/>
    <w:rsid w:val="14867EF9"/>
    <w:rsid w:val="14985D8F"/>
    <w:rsid w:val="149A4B84"/>
    <w:rsid w:val="149C5D93"/>
    <w:rsid w:val="149E1E98"/>
    <w:rsid w:val="149F09CF"/>
    <w:rsid w:val="14AD0E4A"/>
    <w:rsid w:val="14C540D1"/>
    <w:rsid w:val="14C652ED"/>
    <w:rsid w:val="14DF4486"/>
    <w:rsid w:val="14EA30F1"/>
    <w:rsid w:val="14FC26CF"/>
    <w:rsid w:val="150E0E45"/>
    <w:rsid w:val="152A4E31"/>
    <w:rsid w:val="154B0553"/>
    <w:rsid w:val="15517FA2"/>
    <w:rsid w:val="156F236B"/>
    <w:rsid w:val="158A0820"/>
    <w:rsid w:val="159E3520"/>
    <w:rsid w:val="15A05265"/>
    <w:rsid w:val="15B65FA5"/>
    <w:rsid w:val="15C45BA6"/>
    <w:rsid w:val="15D05D6B"/>
    <w:rsid w:val="15D9102D"/>
    <w:rsid w:val="15DD134D"/>
    <w:rsid w:val="16300397"/>
    <w:rsid w:val="16345977"/>
    <w:rsid w:val="163A3516"/>
    <w:rsid w:val="16486A32"/>
    <w:rsid w:val="164904E2"/>
    <w:rsid w:val="16A873C7"/>
    <w:rsid w:val="16AF1233"/>
    <w:rsid w:val="16B25250"/>
    <w:rsid w:val="16B625A5"/>
    <w:rsid w:val="16C44183"/>
    <w:rsid w:val="16C86271"/>
    <w:rsid w:val="16CE2222"/>
    <w:rsid w:val="16D276A1"/>
    <w:rsid w:val="16D538D3"/>
    <w:rsid w:val="16DB14D8"/>
    <w:rsid w:val="16E9297E"/>
    <w:rsid w:val="16F120ED"/>
    <w:rsid w:val="17037E29"/>
    <w:rsid w:val="170638CB"/>
    <w:rsid w:val="170A1694"/>
    <w:rsid w:val="170C2D23"/>
    <w:rsid w:val="172F3DD4"/>
    <w:rsid w:val="17311502"/>
    <w:rsid w:val="173B4027"/>
    <w:rsid w:val="173E36D3"/>
    <w:rsid w:val="1743727C"/>
    <w:rsid w:val="1779486D"/>
    <w:rsid w:val="17914BD9"/>
    <w:rsid w:val="17C36531"/>
    <w:rsid w:val="17CA6FAA"/>
    <w:rsid w:val="17D747A1"/>
    <w:rsid w:val="17DD1025"/>
    <w:rsid w:val="17DE3F33"/>
    <w:rsid w:val="17FB2C27"/>
    <w:rsid w:val="180D177A"/>
    <w:rsid w:val="182A1FD8"/>
    <w:rsid w:val="18326B2E"/>
    <w:rsid w:val="183D28C6"/>
    <w:rsid w:val="183D5BE9"/>
    <w:rsid w:val="184138C0"/>
    <w:rsid w:val="185849A8"/>
    <w:rsid w:val="1867575B"/>
    <w:rsid w:val="18684C9C"/>
    <w:rsid w:val="18715CAB"/>
    <w:rsid w:val="187F6D57"/>
    <w:rsid w:val="18801DD0"/>
    <w:rsid w:val="189F22B7"/>
    <w:rsid w:val="18C67B6E"/>
    <w:rsid w:val="18DC526F"/>
    <w:rsid w:val="18E30AC3"/>
    <w:rsid w:val="18EA59A3"/>
    <w:rsid w:val="18F309C3"/>
    <w:rsid w:val="18F757FE"/>
    <w:rsid w:val="190116D5"/>
    <w:rsid w:val="190454B5"/>
    <w:rsid w:val="191758BF"/>
    <w:rsid w:val="19383D27"/>
    <w:rsid w:val="195F57F8"/>
    <w:rsid w:val="19631F38"/>
    <w:rsid w:val="19706CC4"/>
    <w:rsid w:val="1986213F"/>
    <w:rsid w:val="1989131C"/>
    <w:rsid w:val="198B0636"/>
    <w:rsid w:val="19AC32E7"/>
    <w:rsid w:val="19AC7AE7"/>
    <w:rsid w:val="19D20942"/>
    <w:rsid w:val="19D724E0"/>
    <w:rsid w:val="19E71F1D"/>
    <w:rsid w:val="19E96131"/>
    <w:rsid w:val="19F36CCE"/>
    <w:rsid w:val="19FB6F0E"/>
    <w:rsid w:val="19FD74CA"/>
    <w:rsid w:val="1A043ABD"/>
    <w:rsid w:val="1A0E78D5"/>
    <w:rsid w:val="1A1C4C4F"/>
    <w:rsid w:val="1A2E522A"/>
    <w:rsid w:val="1A7019BA"/>
    <w:rsid w:val="1AB60CFD"/>
    <w:rsid w:val="1ABC6F9E"/>
    <w:rsid w:val="1AC523EB"/>
    <w:rsid w:val="1AF87F6A"/>
    <w:rsid w:val="1AFF0A1B"/>
    <w:rsid w:val="1B011635"/>
    <w:rsid w:val="1B117A4B"/>
    <w:rsid w:val="1B1504A2"/>
    <w:rsid w:val="1B1562C7"/>
    <w:rsid w:val="1B1A613B"/>
    <w:rsid w:val="1B2D197F"/>
    <w:rsid w:val="1B31799B"/>
    <w:rsid w:val="1B93790A"/>
    <w:rsid w:val="1B987196"/>
    <w:rsid w:val="1BA63EB0"/>
    <w:rsid w:val="1BA80B33"/>
    <w:rsid w:val="1BA85083"/>
    <w:rsid w:val="1BA87044"/>
    <w:rsid w:val="1BCF2552"/>
    <w:rsid w:val="1BFA7C22"/>
    <w:rsid w:val="1BFE0226"/>
    <w:rsid w:val="1C1676B4"/>
    <w:rsid w:val="1C1D4756"/>
    <w:rsid w:val="1C20429B"/>
    <w:rsid w:val="1C236B5E"/>
    <w:rsid w:val="1C2408B6"/>
    <w:rsid w:val="1C3404B6"/>
    <w:rsid w:val="1C3A2730"/>
    <w:rsid w:val="1C446F8A"/>
    <w:rsid w:val="1C484021"/>
    <w:rsid w:val="1C4A6DA9"/>
    <w:rsid w:val="1C4D303C"/>
    <w:rsid w:val="1C533596"/>
    <w:rsid w:val="1C626639"/>
    <w:rsid w:val="1C7E19F5"/>
    <w:rsid w:val="1C9553F8"/>
    <w:rsid w:val="1CA059D8"/>
    <w:rsid w:val="1CB011E0"/>
    <w:rsid w:val="1CC46FCD"/>
    <w:rsid w:val="1D0F30A9"/>
    <w:rsid w:val="1D124979"/>
    <w:rsid w:val="1D3A0A93"/>
    <w:rsid w:val="1D4374C9"/>
    <w:rsid w:val="1D523A41"/>
    <w:rsid w:val="1D5823E9"/>
    <w:rsid w:val="1D61678E"/>
    <w:rsid w:val="1D6757E8"/>
    <w:rsid w:val="1D80107A"/>
    <w:rsid w:val="1D880FF1"/>
    <w:rsid w:val="1D8B0A38"/>
    <w:rsid w:val="1D8D2845"/>
    <w:rsid w:val="1DA32104"/>
    <w:rsid w:val="1DAA7602"/>
    <w:rsid w:val="1DD17CF8"/>
    <w:rsid w:val="1DE40033"/>
    <w:rsid w:val="1DE604D6"/>
    <w:rsid w:val="1E095EDC"/>
    <w:rsid w:val="1E0F700B"/>
    <w:rsid w:val="1E294391"/>
    <w:rsid w:val="1E337D37"/>
    <w:rsid w:val="1E3500E4"/>
    <w:rsid w:val="1E3C3CFA"/>
    <w:rsid w:val="1E6758FE"/>
    <w:rsid w:val="1E6D3A6C"/>
    <w:rsid w:val="1E753AC7"/>
    <w:rsid w:val="1EB132BD"/>
    <w:rsid w:val="1EB340DE"/>
    <w:rsid w:val="1ED844C8"/>
    <w:rsid w:val="1EF00149"/>
    <w:rsid w:val="1EF6219E"/>
    <w:rsid w:val="1F13704B"/>
    <w:rsid w:val="1F153A5D"/>
    <w:rsid w:val="1F1C24A9"/>
    <w:rsid w:val="1F2100E1"/>
    <w:rsid w:val="1F352E20"/>
    <w:rsid w:val="1F445AD6"/>
    <w:rsid w:val="1F4B1224"/>
    <w:rsid w:val="1F4E2990"/>
    <w:rsid w:val="1F546C1C"/>
    <w:rsid w:val="1F593ECD"/>
    <w:rsid w:val="1F6F4558"/>
    <w:rsid w:val="1F7A48B8"/>
    <w:rsid w:val="1F8210C2"/>
    <w:rsid w:val="1F83070D"/>
    <w:rsid w:val="1F8342BE"/>
    <w:rsid w:val="1FA807DA"/>
    <w:rsid w:val="1FA8204B"/>
    <w:rsid w:val="1FAF7875"/>
    <w:rsid w:val="1FC3227C"/>
    <w:rsid w:val="1FD52EC4"/>
    <w:rsid w:val="1FD644AD"/>
    <w:rsid w:val="1FE06AD5"/>
    <w:rsid w:val="1FE36D55"/>
    <w:rsid w:val="201B40E9"/>
    <w:rsid w:val="20270065"/>
    <w:rsid w:val="203C3502"/>
    <w:rsid w:val="2051146F"/>
    <w:rsid w:val="20513C8A"/>
    <w:rsid w:val="2079004D"/>
    <w:rsid w:val="2085434B"/>
    <w:rsid w:val="20976346"/>
    <w:rsid w:val="20A36352"/>
    <w:rsid w:val="20C31076"/>
    <w:rsid w:val="20CB2DAA"/>
    <w:rsid w:val="20D337EC"/>
    <w:rsid w:val="20F155DB"/>
    <w:rsid w:val="20F31070"/>
    <w:rsid w:val="20F31776"/>
    <w:rsid w:val="210B1EC1"/>
    <w:rsid w:val="21147DC3"/>
    <w:rsid w:val="21240BDC"/>
    <w:rsid w:val="21266979"/>
    <w:rsid w:val="212D7879"/>
    <w:rsid w:val="21395628"/>
    <w:rsid w:val="21421245"/>
    <w:rsid w:val="21457A44"/>
    <w:rsid w:val="214E1F8A"/>
    <w:rsid w:val="214F074D"/>
    <w:rsid w:val="21510042"/>
    <w:rsid w:val="21641855"/>
    <w:rsid w:val="216E7BE2"/>
    <w:rsid w:val="217B2082"/>
    <w:rsid w:val="21880367"/>
    <w:rsid w:val="21981991"/>
    <w:rsid w:val="219C2503"/>
    <w:rsid w:val="21B0450F"/>
    <w:rsid w:val="21C3391A"/>
    <w:rsid w:val="21C4408A"/>
    <w:rsid w:val="21C721DE"/>
    <w:rsid w:val="21FD6A13"/>
    <w:rsid w:val="220D11C3"/>
    <w:rsid w:val="2217240B"/>
    <w:rsid w:val="221E5401"/>
    <w:rsid w:val="22202615"/>
    <w:rsid w:val="22366251"/>
    <w:rsid w:val="223830C0"/>
    <w:rsid w:val="226427C0"/>
    <w:rsid w:val="226D7296"/>
    <w:rsid w:val="227E73BB"/>
    <w:rsid w:val="22825E23"/>
    <w:rsid w:val="22A8506B"/>
    <w:rsid w:val="22BC791D"/>
    <w:rsid w:val="22E07F70"/>
    <w:rsid w:val="22E116D7"/>
    <w:rsid w:val="23027879"/>
    <w:rsid w:val="23060BDD"/>
    <w:rsid w:val="231E6597"/>
    <w:rsid w:val="23245B4F"/>
    <w:rsid w:val="23337719"/>
    <w:rsid w:val="2335773F"/>
    <w:rsid w:val="233D4511"/>
    <w:rsid w:val="233D593D"/>
    <w:rsid w:val="23446EB1"/>
    <w:rsid w:val="234E52B4"/>
    <w:rsid w:val="23783DF6"/>
    <w:rsid w:val="23971A56"/>
    <w:rsid w:val="23BE0771"/>
    <w:rsid w:val="23C40CD1"/>
    <w:rsid w:val="23DA6317"/>
    <w:rsid w:val="23E375D1"/>
    <w:rsid w:val="23EC31DE"/>
    <w:rsid w:val="24034E5C"/>
    <w:rsid w:val="24282817"/>
    <w:rsid w:val="242E5C03"/>
    <w:rsid w:val="243472A5"/>
    <w:rsid w:val="243E74E7"/>
    <w:rsid w:val="24493020"/>
    <w:rsid w:val="244C6D90"/>
    <w:rsid w:val="24666B0F"/>
    <w:rsid w:val="246A1BB3"/>
    <w:rsid w:val="246E2A38"/>
    <w:rsid w:val="246F5894"/>
    <w:rsid w:val="246F7815"/>
    <w:rsid w:val="247068E9"/>
    <w:rsid w:val="24786FB5"/>
    <w:rsid w:val="24830A28"/>
    <w:rsid w:val="24861551"/>
    <w:rsid w:val="24894379"/>
    <w:rsid w:val="248A3369"/>
    <w:rsid w:val="248C0D71"/>
    <w:rsid w:val="24956FEA"/>
    <w:rsid w:val="24A83CE8"/>
    <w:rsid w:val="24AF00D3"/>
    <w:rsid w:val="24B142CB"/>
    <w:rsid w:val="24C06A27"/>
    <w:rsid w:val="24C43E34"/>
    <w:rsid w:val="24D75D8A"/>
    <w:rsid w:val="24E561BD"/>
    <w:rsid w:val="24F9362C"/>
    <w:rsid w:val="2529161D"/>
    <w:rsid w:val="254711E4"/>
    <w:rsid w:val="254B25C0"/>
    <w:rsid w:val="25521CE0"/>
    <w:rsid w:val="256806FF"/>
    <w:rsid w:val="25753EB5"/>
    <w:rsid w:val="2593652C"/>
    <w:rsid w:val="25985C12"/>
    <w:rsid w:val="259C7DAE"/>
    <w:rsid w:val="25A8057E"/>
    <w:rsid w:val="25BF7326"/>
    <w:rsid w:val="25C875E4"/>
    <w:rsid w:val="25D440EF"/>
    <w:rsid w:val="25DA2D03"/>
    <w:rsid w:val="25DC5C69"/>
    <w:rsid w:val="25E515C7"/>
    <w:rsid w:val="25E57434"/>
    <w:rsid w:val="25F51983"/>
    <w:rsid w:val="25F7093D"/>
    <w:rsid w:val="2602688C"/>
    <w:rsid w:val="260403B0"/>
    <w:rsid w:val="26077322"/>
    <w:rsid w:val="261C58D1"/>
    <w:rsid w:val="26231DC6"/>
    <w:rsid w:val="262C709E"/>
    <w:rsid w:val="2639373E"/>
    <w:rsid w:val="26552559"/>
    <w:rsid w:val="265D4DF9"/>
    <w:rsid w:val="266A35C1"/>
    <w:rsid w:val="266B693A"/>
    <w:rsid w:val="26704FE1"/>
    <w:rsid w:val="267B5F24"/>
    <w:rsid w:val="26842D00"/>
    <w:rsid w:val="26870C7E"/>
    <w:rsid w:val="2691724C"/>
    <w:rsid w:val="269203CC"/>
    <w:rsid w:val="269D5EA9"/>
    <w:rsid w:val="26AD4AB4"/>
    <w:rsid w:val="26B73E46"/>
    <w:rsid w:val="26C12297"/>
    <w:rsid w:val="26C76AA1"/>
    <w:rsid w:val="26DD0759"/>
    <w:rsid w:val="26E61446"/>
    <w:rsid w:val="270243B0"/>
    <w:rsid w:val="27122789"/>
    <w:rsid w:val="27201507"/>
    <w:rsid w:val="27260CC1"/>
    <w:rsid w:val="272F6AF6"/>
    <w:rsid w:val="27324E4D"/>
    <w:rsid w:val="27502111"/>
    <w:rsid w:val="2768752C"/>
    <w:rsid w:val="27744003"/>
    <w:rsid w:val="27843E8C"/>
    <w:rsid w:val="278719E4"/>
    <w:rsid w:val="278D2168"/>
    <w:rsid w:val="27955923"/>
    <w:rsid w:val="27975DE0"/>
    <w:rsid w:val="279E7928"/>
    <w:rsid w:val="27A308B0"/>
    <w:rsid w:val="27BF7599"/>
    <w:rsid w:val="27CD6AEC"/>
    <w:rsid w:val="27CF1EA2"/>
    <w:rsid w:val="27D2129F"/>
    <w:rsid w:val="27E31BC1"/>
    <w:rsid w:val="28117B28"/>
    <w:rsid w:val="282D3621"/>
    <w:rsid w:val="28353306"/>
    <w:rsid w:val="283D6253"/>
    <w:rsid w:val="2845368C"/>
    <w:rsid w:val="287655FA"/>
    <w:rsid w:val="287D7E73"/>
    <w:rsid w:val="28962858"/>
    <w:rsid w:val="289D53BA"/>
    <w:rsid w:val="28A9572B"/>
    <w:rsid w:val="28AD641F"/>
    <w:rsid w:val="28BC3D0D"/>
    <w:rsid w:val="28D77FBC"/>
    <w:rsid w:val="28ED6A39"/>
    <w:rsid w:val="28F811E9"/>
    <w:rsid w:val="2901453C"/>
    <w:rsid w:val="290E5895"/>
    <w:rsid w:val="29120429"/>
    <w:rsid w:val="291962D0"/>
    <w:rsid w:val="291B44F8"/>
    <w:rsid w:val="291B638D"/>
    <w:rsid w:val="29296C4B"/>
    <w:rsid w:val="29355E06"/>
    <w:rsid w:val="29493C47"/>
    <w:rsid w:val="298011DE"/>
    <w:rsid w:val="29955A17"/>
    <w:rsid w:val="29994479"/>
    <w:rsid w:val="299B7154"/>
    <w:rsid w:val="29A7449C"/>
    <w:rsid w:val="29AD2F90"/>
    <w:rsid w:val="29C70BBB"/>
    <w:rsid w:val="29D340F0"/>
    <w:rsid w:val="29D34CCD"/>
    <w:rsid w:val="29EE6148"/>
    <w:rsid w:val="29F06CC3"/>
    <w:rsid w:val="29F81496"/>
    <w:rsid w:val="2A096F78"/>
    <w:rsid w:val="2A0F6364"/>
    <w:rsid w:val="2A207DB3"/>
    <w:rsid w:val="2A230EE1"/>
    <w:rsid w:val="2A3A75DF"/>
    <w:rsid w:val="2A3D0E7D"/>
    <w:rsid w:val="2A425EB7"/>
    <w:rsid w:val="2A64640A"/>
    <w:rsid w:val="2A7B4F9A"/>
    <w:rsid w:val="2A7F1225"/>
    <w:rsid w:val="2AAE58D7"/>
    <w:rsid w:val="2AB11678"/>
    <w:rsid w:val="2AC55897"/>
    <w:rsid w:val="2ADD054A"/>
    <w:rsid w:val="2AE40AFB"/>
    <w:rsid w:val="2AF40319"/>
    <w:rsid w:val="2B246DAF"/>
    <w:rsid w:val="2B2A5D36"/>
    <w:rsid w:val="2B356533"/>
    <w:rsid w:val="2B363B92"/>
    <w:rsid w:val="2B3B716B"/>
    <w:rsid w:val="2B3E1CFF"/>
    <w:rsid w:val="2B4F62DB"/>
    <w:rsid w:val="2B5349AD"/>
    <w:rsid w:val="2B563B16"/>
    <w:rsid w:val="2B6F60EB"/>
    <w:rsid w:val="2B7C08A9"/>
    <w:rsid w:val="2B8257DC"/>
    <w:rsid w:val="2B841204"/>
    <w:rsid w:val="2B8415DF"/>
    <w:rsid w:val="2B8723B0"/>
    <w:rsid w:val="2B8B1FEE"/>
    <w:rsid w:val="2B987595"/>
    <w:rsid w:val="2B9C109B"/>
    <w:rsid w:val="2BA42C0B"/>
    <w:rsid w:val="2BAC4659"/>
    <w:rsid w:val="2BC73F2E"/>
    <w:rsid w:val="2BCE3766"/>
    <w:rsid w:val="2BDC2571"/>
    <w:rsid w:val="2BEA1B3E"/>
    <w:rsid w:val="2BF11A16"/>
    <w:rsid w:val="2BF25A20"/>
    <w:rsid w:val="2C037CE9"/>
    <w:rsid w:val="2C0D28C4"/>
    <w:rsid w:val="2C0D7FFE"/>
    <w:rsid w:val="2C484C7E"/>
    <w:rsid w:val="2C56468D"/>
    <w:rsid w:val="2C5F4B65"/>
    <w:rsid w:val="2C750398"/>
    <w:rsid w:val="2C762FB8"/>
    <w:rsid w:val="2C87095E"/>
    <w:rsid w:val="2C911AE0"/>
    <w:rsid w:val="2C953AF4"/>
    <w:rsid w:val="2CA019F2"/>
    <w:rsid w:val="2CE644CE"/>
    <w:rsid w:val="2CEA52EC"/>
    <w:rsid w:val="2CED175A"/>
    <w:rsid w:val="2CF80139"/>
    <w:rsid w:val="2CFA39E0"/>
    <w:rsid w:val="2D116C46"/>
    <w:rsid w:val="2D1D76AA"/>
    <w:rsid w:val="2D247327"/>
    <w:rsid w:val="2D664C9E"/>
    <w:rsid w:val="2D6D7C48"/>
    <w:rsid w:val="2D7150A8"/>
    <w:rsid w:val="2D7540AB"/>
    <w:rsid w:val="2D9C4397"/>
    <w:rsid w:val="2DAC400E"/>
    <w:rsid w:val="2DAC44DC"/>
    <w:rsid w:val="2DB920FE"/>
    <w:rsid w:val="2DB94441"/>
    <w:rsid w:val="2DCC67A0"/>
    <w:rsid w:val="2DD27C0F"/>
    <w:rsid w:val="2DD61F61"/>
    <w:rsid w:val="2DD9535C"/>
    <w:rsid w:val="2DDD4716"/>
    <w:rsid w:val="2DE330E1"/>
    <w:rsid w:val="2DF14458"/>
    <w:rsid w:val="2DFD5720"/>
    <w:rsid w:val="2DFF2066"/>
    <w:rsid w:val="2E044A3B"/>
    <w:rsid w:val="2E053A60"/>
    <w:rsid w:val="2E1400B3"/>
    <w:rsid w:val="2E1916E1"/>
    <w:rsid w:val="2E23133D"/>
    <w:rsid w:val="2E257CBC"/>
    <w:rsid w:val="2E2D32EC"/>
    <w:rsid w:val="2E2E6192"/>
    <w:rsid w:val="2E2F570A"/>
    <w:rsid w:val="2E3B3175"/>
    <w:rsid w:val="2E516116"/>
    <w:rsid w:val="2E545608"/>
    <w:rsid w:val="2E80442A"/>
    <w:rsid w:val="2E8055A3"/>
    <w:rsid w:val="2E8512DD"/>
    <w:rsid w:val="2ECD043B"/>
    <w:rsid w:val="2ED51F6A"/>
    <w:rsid w:val="2ED55B28"/>
    <w:rsid w:val="2EF678AC"/>
    <w:rsid w:val="2EFA1F68"/>
    <w:rsid w:val="2F120F74"/>
    <w:rsid w:val="2F150970"/>
    <w:rsid w:val="2F282553"/>
    <w:rsid w:val="2F34625E"/>
    <w:rsid w:val="2F472C65"/>
    <w:rsid w:val="2F592EE3"/>
    <w:rsid w:val="2F5F3D64"/>
    <w:rsid w:val="2F671A31"/>
    <w:rsid w:val="2F6A13AF"/>
    <w:rsid w:val="2F780320"/>
    <w:rsid w:val="2F82118D"/>
    <w:rsid w:val="2F9268C2"/>
    <w:rsid w:val="2FA15429"/>
    <w:rsid w:val="2FA644CA"/>
    <w:rsid w:val="2FA85850"/>
    <w:rsid w:val="2FB35E69"/>
    <w:rsid w:val="2FB8063A"/>
    <w:rsid w:val="2FB97D51"/>
    <w:rsid w:val="2FBA5CFD"/>
    <w:rsid w:val="2FBE480E"/>
    <w:rsid w:val="2FDF15B3"/>
    <w:rsid w:val="2FEE6F97"/>
    <w:rsid w:val="300E5C83"/>
    <w:rsid w:val="301679C5"/>
    <w:rsid w:val="301A1E37"/>
    <w:rsid w:val="301D415C"/>
    <w:rsid w:val="302A11E7"/>
    <w:rsid w:val="30482748"/>
    <w:rsid w:val="3067324F"/>
    <w:rsid w:val="306852AE"/>
    <w:rsid w:val="306A6AB8"/>
    <w:rsid w:val="307A6677"/>
    <w:rsid w:val="308A5C4F"/>
    <w:rsid w:val="30930EE7"/>
    <w:rsid w:val="309D4424"/>
    <w:rsid w:val="30A47560"/>
    <w:rsid w:val="30BE1396"/>
    <w:rsid w:val="30DB1EA7"/>
    <w:rsid w:val="30E045E4"/>
    <w:rsid w:val="30E53171"/>
    <w:rsid w:val="30F87195"/>
    <w:rsid w:val="30FC2B4F"/>
    <w:rsid w:val="311A7812"/>
    <w:rsid w:val="311B3E31"/>
    <w:rsid w:val="3157372D"/>
    <w:rsid w:val="315A5EFE"/>
    <w:rsid w:val="315C3798"/>
    <w:rsid w:val="3160563B"/>
    <w:rsid w:val="31646916"/>
    <w:rsid w:val="316D7CFB"/>
    <w:rsid w:val="31885555"/>
    <w:rsid w:val="31921CC6"/>
    <w:rsid w:val="31A70FEA"/>
    <w:rsid w:val="31B366D6"/>
    <w:rsid w:val="31BC20F5"/>
    <w:rsid w:val="31D06DB6"/>
    <w:rsid w:val="31F33456"/>
    <w:rsid w:val="31F9053D"/>
    <w:rsid w:val="31F9144B"/>
    <w:rsid w:val="32185EBC"/>
    <w:rsid w:val="32281B71"/>
    <w:rsid w:val="32293FFC"/>
    <w:rsid w:val="325771C4"/>
    <w:rsid w:val="326E6954"/>
    <w:rsid w:val="32704087"/>
    <w:rsid w:val="32724D9B"/>
    <w:rsid w:val="32727A1A"/>
    <w:rsid w:val="32942E10"/>
    <w:rsid w:val="3298276A"/>
    <w:rsid w:val="32A46395"/>
    <w:rsid w:val="32A65B3F"/>
    <w:rsid w:val="32B17C24"/>
    <w:rsid w:val="32B52B65"/>
    <w:rsid w:val="32C45E85"/>
    <w:rsid w:val="32D7381F"/>
    <w:rsid w:val="32EB591A"/>
    <w:rsid w:val="32EC2F9D"/>
    <w:rsid w:val="32F04905"/>
    <w:rsid w:val="32F50D7E"/>
    <w:rsid w:val="3308270E"/>
    <w:rsid w:val="33105A76"/>
    <w:rsid w:val="33172231"/>
    <w:rsid w:val="33421C2F"/>
    <w:rsid w:val="33596D28"/>
    <w:rsid w:val="33664B1B"/>
    <w:rsid w:val="336A2CE3"/>
    <w:rsid w:val="337026FC"/>
    <w:rsid w:val="33704D60"/>
    <w:rsid w:val="33742A8C"/>
    <w:rsid w:val="3383165D"/>
    <w:rsid w:val="33974431"/>
    <w:rsid w:val="339A45E3"/>
    <w:rsid w:val="339C7D7B"/>
    <w:rsid w:val="33BB4916"/>
    <w:rsid w:val="33DF2338"/>
    <w:rsid w:val="34050E57"/>
    <w:rsid w:val="343006A4"/>
    <w:rsid w:val="343E3639"/>
    <w:rsid w:val="344D5648"/>
    <w:rsid w:val="3453556B"/>
    <w:rsid w:val="34677334"/>
    <w:rsid w:val="34A00995"/>
    <w:rsid w:val="34B93807"/>
    <w:rsid w:val="34BF6AC9"/>
    <w:rsid w:val="34C03E2C"/>
    <w:rsid w:val="34E60A39"/>
    <w:rsid w:val="34FA12BD"/>
    <w:rsid w:val="35057D2C"/>
    <w:rsid w:val="350E07CD"/>
    <w:rsid w:val="35101668"/>
    <w:rsid w:val="35202874"/>
    <w:rsid w:val="352878A9"/>
    <w:rsid w:val="35397C4C"/>
    <w:rsid w:val="35412770"/>
    <w:rsid w:val="354451E9"/>
    <w:rsid w:val="355B3D5E"/>
    <w:rsid w:val="35636F2A"/>
    <w:rsid w:val="3569341A"/>
    <w:rsid w:val="3574051B"/>
    <w:rsid w:val="3577735B"/>
    <w:rsid w:val="35814314"/>
    <w:rsid w:val="358C76F9"/>
    <w:rsid w:val="359758E5"/>
    <w:rsid w:val="35AA2ABF"/>
    <w:rsid w:val="35AD5109"/>
    <w:rsid w:val="35B244CD"/>
    <w:rsid w:val="35D00754"/>
    <w:rsid w:val="35D318D5"/>
    <w:rsid w:val="35DB7199"/>
    <w:rsid w:val="35DF4B83"/>
    <w:rsid w:val="35E2402A"/>
    <w:rsid w:val="35E51C22"/>
    <w:rsid w:val="35EE6609"/>
    <w:rsid w:val="36235FDC"/>
    <w:rsid w:val="364F2182"/>
    <w:rsid w:val="36527A1C"/>
    <w:rsid w:val="365F594F"/>
    <w:rsid w:val="366F23BE"/>
    <w:rsid w:val="36825613"/>
    <w:rsid w:val="368D1705"/>
    <w:rsid w:val="368D4EE9"/>
    <w:rsid w:val="36993B51"/>
    <w:rsid w:val="36AB6C8F"/>
    <w:rsid w:val="36AD0C4C"/>
    <w:rsid w:val="36AD21CE"/>
    <w:rsid w:val="36CA15CA"/>
    <w:rsid w:val="36E554AD"/>
    <w:rsid w:val="36E56B24"/>
    <w:rsid w:val="36EB118D"/>
    <w:rsid w:val="36EE4399"/>
    <w:rsid w:val="36F57214"/>
    <w:rsid w:val="372A500F"/>
    <w:rsid w:val="373E6864"/>
    <w:rsid w:val="37571B83"/>
    <w:rsid w:val="376B702A"/>
    <w:rsid w:val="3785374D"/>
    <w:rsid w:val="37C5249B"/>
    <w:rsid w:val="37C52B3C"/>
    <w:rsid w:val="37C679DB"/>
    <w:rsid w:val="37D66433"/>
    <w:rsid w:val="37D70FF6"/>
    <w:rsid w:val="37E51C8F"/>
    <w:rsid w:val="37F25192"/>
    <w:rsid w:val="37F44BF5"/>
    <w:rsid w:val="37FF5FA7"/>
    <w:rsid w:val="37FF6230"/>
    <w:rsid w:val="38042CDD"/>
    <w:rsid w:val="38173C06"/>
    <w:rsid w:val="38200AED"/>
    <w:rsid w:val="383C7A28"/>
    <w:rsid w:val="38401F54"/>
    <w:rsid w:val="3851755D"/>
    <w:rsid w:val="38623A17"/>
    <w:rsid w:val="386B0D75"/>
    <w:rsid w:val="386B3CFB"/>
    <w:rsid w:val="38734A5E"/>
    <w:rsid w:val="38780521"/>
    <w:rsid w:val="38883E07"/>
    <w:rsid w:val="388D59BA"/>
    <w:rsid w:val="389600EB"/>
    <w:rsid w:val="38995AC0"/>
    <w:rsid w:val="38AB6B87"/>
    <w:rsid w:val="38BA0F16"/>
    <w:rsid w:val="38C7101F"/>
    <w:rsid w:val="38D0213F"/>
    <w:rsid w:val="38DE1A7D"/>
    <w:rsid w:val="38F50EA3"/>
    <w:rsid w:val="38FF07C8"/>
    <w:rsid w:val="39060F24"/>
    <w:rsid w:val="391953DE"/>
    <w:rsid w:val="392436F3"/>
    <w:rsid w:val="392C3163"/>
    <w:rsid w:val="395F10CD"/>
    <w:rsid w:val="39677BFF"/>
    <w:rsid w:val="39681ED7"/>
    <w:rsid w:val="398407C2"/>
    <w:rsid w:val="399C5868"/>
    <w:rsid w:val="399F1BB1"/>
    <w:rsid w:val="39A64C8A"/>
    <w:rsid w:val="39C7613F"/>
    <w:rsid w:val="39D15BA2"/>
    <w:rsid w:val="39E5039A"/>
    <w:rsid w:val="39FB155F"/>
    <w:rsid w:val="39FB1BB1"/>
    <w:rsid w:val="39FD4610"/>
    <w:rsid w:val="3A053E59"/>
    <w:rsid w:val="3A0C2050"/>
    <w:rsid w:val="3A154301"/>
    <w:rsid w:val="3A1C7AB1"/>
    <w:rsid w:val="3A3F2B3B"/>
    <w:rsid w:val="3A550592"/>
    <w:rsid w:val="3A5F5338"/>
    <w:rsid w:val="3A6E2B77"/>
    <w:rsid w:val="3A6E2F13"/>
    <w:rsid w:val="3A6F0BDF"/>
    <w:rsid w:val="3A8561BA"/>
    <w:rsid w:val="3AA534FB"/>
    <w:rsid w:val="3AA66195"/>
    <w:rsid w:val="3AAE3FF5"/>
    <w:rsid w:val="3ABD3F4B"/>
    <w:rsid w:val="3AC84E14"/>
    <w:rsid w:val="3AD06876"/>
    <w:rsid w:val="3AD43138"/>
    <w:rsid w:val="3AD502EB"/>
    <w:rsid w:val="3AE23E70"/>
    <w:rsid w:val="3AE70F57"/>
    <w:rsid w:val="3AE856F7"/>
    <w:rsid w:val="3AFB6916"/>
    <w:rsid w:val="3B001E3E"/>
    <w:rsid w:val="3B1E0DF8"/>
    <w:rsid w:val="3B4C2F90"/>
    <w:rsid w:val="3B514A09"/>
    <w:rsid w:val="3B52400F"/>
    <w:rsid w:val="3B530339"/>
    <w:rsid w:val="3B551F24"/>
    <w:rsid w:val="3B574E3B"/>
    <w:rsid w:val="3B6D4D62"/>
    <w:rsid w:val="3B7D557D"/>
    <w:rsid w:val="3B7E67FC"/>
    <w:rsid w:val="3BA272D5"/>
    <w:rsid w:val="3BAF34E6"/>
    <w:rsid w:val="3BB12956"/>
    <w:rsid w:val="3BB156EE"/>
    <w:rsid w:val="3BBE0EE9"/>
    <w:rsid w:val="3BBE73C3"/>
    <w:rsid w:val="3BCA747D"/>
    <w:rsid w:val="3BD218D5"/>
    <w:rsid w:val="3BE55593"/>
    <w:rsid w:val="3BE91AD5"/>
    <w:rsid w:val="3BEC78A4"/>
    <w:rsid w:val="3BEE647B"/>
    <w:rsid w:val="3BF2030B"/>
    <w:rsid w:val="3BF33367"/>
    <w:rsid w:val="3BF34E47"/>
    <w:rsid w:val="3BF7416A"/>
    <w:rsid w:val="3C081632"/>
    <w:rsid w:val="3C0D1297"/>
    <w:rsid w:val="3C0F55AD"/>
    <w:rsid w:val="3C1378E6"/>
    <w:rsid w:val="3C18654F"/>
    <w:rsid w:val="3C1F1828"/>
    <w:rsid w:val="3C3173E1"/>
    <w:rsid w:val="3C3605B2"/>
    <w:rsid w:val="3C445DCA"/>
    <w:rsid w:val="3C4A3258"/>
    <w:rsid w:val="3C5017FE"/>
    <w:rsid w:val="3C513870"/>
    <w:rsid w:val="3C5F5B45"/>
    <w:rsid w:val="3C5F7A3A"/>
    <w:rsid w:val="3C720DF3"/>
    <w:rsid w:val="3C8562A2"/>
    <w:rsid w:val="3C86094C"/>
    <w:rsid w:val="3C876F1C"/>
    <w:rsid w:val="3C97266F"/>
    <w:rsid w:val="3CCE1337"/>
    <w:rsid w:val="3CDD533F"/>
    <w:rsid w:val="3CEF36C9"/>
    <w:rsid w:val="3CF67395"/>
    <w:rsid w:val="3D0B24F5"/>
    <w:rsid w:val="3D1017C4"/>
    <w:rsid w:val="3D1D2B74"/>
    <w:rsid w:val="3D2149B3"/>
    <w:rsid w:val="3D2C14D0"/>
    <w:rsid w:val="3D2D16A6"/>
    <w:rsid w:val="3D3358BE"/>
    <w:rsid w:val="3D347EBE"/>
    <w:rsid w:val="3D365F77"/>
    <w:rsid w:val="3D3C20F9"/>
    <w:rsid w:val="3D6153CD"/>
    <w:rsid w:val="3D9706C4"/>
    <w:rsid w:val="3DA76A07"/>
    <w:rsid w:val="3DB93EC6"/>
    <w:rsid w:val="3DC73B1F"/>
    <w:rsid w:val="3DDE092B"/>
    <w:rsid w:val="3DE30438"/>
    <w:rsid w:val="3DE537A3"/>
    <w:rsid w:val="3E1C3686"/>
    <w:rsid w:val="3E270B89"/>
    <w:rsid w:val="3E333149"/>
    <w:rsid w:val="3E4C3EFA"/>
    <w:rsid w:val="3E5067D0"/>
    <w:rsid w:val="3E744E7B"/>
    <w:rsid w:val="3E992864"/>
    <w:rsid w:val="3E9B7D7F"/>
    <w:rsid w:val="3E9D6CE5"/>
    <w:rsid w:val="3E9F347B"/>
    <w:rsid w:val="3EB11B3E"/>
    <w:rsid w:val="3EBA3D27"/>
    <w:rsid w:val="3EBB75CA"/>
    <w:rsid w:val="3EC41096"/>
    <w:rsid w:val="3EC5767B"/>
    <w:rsid w:val="3EF63736"/>
    <w:rsid w:val="3EF747C4"/>
    <w:rsid w:val="3EFF3BA7"/>
    <w:rsid w:val="3F00683C"/>
    <w:rsid w:val="3F030B87"/>
    <w:rsid w:val="3F177175"/>
    <w:rsid w:val="3F263BD5"/>
    <w:rsid w:val="3F4C2FD3"/>
    <w:rsid w:val="3F4D02CB"/>
    <w:rsid w:val="3F4E6618"/>
    <w:rsid w:val="3F6D79AA"/>
    <w:rsid w:val="3F7738BC"/>
    <w:rsid w:val="3F7E3672"/>
    <w:rsid w:val="3F831546"/>
    <w:rsid w:val="3F8A4DF2"/>
    <w:rsid w:val="3F9647D8"/>
    <w:rsid w:val="3FB82247"/>
    <w:rsid w:val="3FD63E4F"/>
    <w:rsid w:val="3FD849AE"/>
    <w:rsid w:val="3FE04C84"/>
    <w:rsid w:val="3FF50478"/>
    <w:rsid w:val="40061FE5"/>
    <w:rsid w:val="400F10DD"/>
    <w:rsid w:val="40255B29"/>
    <w:rsid w:val="40387F31"/>
    <w:rsid w:val="404C683C"/>
    <w:rsid w:val="40637192"/>
    <w:rsid w:val="408A668B"/>
    <w:rsid w:val="40A605F7"/>
    <w:rsid w:val="40B94F7C"/>
    <w:rsid w:val="40BA26F5"/>
    <w:rsid w:val="40C03C84"/>
    <w:rsid w:val="40C75C6D"/>
    <w:rsid w:val="40CB462D"/>
    <w:rsid w:val="40D73D5E"/>
    <w:rsid w:val="40D93256"/>
    <w:rsid w:val="40E33567"/>
    <w:rsid w:val="40E85C23"/>
    <w:rsid w:val="411F678D"/>
    <w:rsid w:val="41234008"/>
    <w:rsid w:val="41271803"/>
    <w:rsid w:val="41356D58"/>
    <w:rsid w:val="414929EE"/>
    <w:rsid w:val="41611CE5"/>
    <w:rsid w:val="416739CB"/>
    <w:rsid w:val="41793240"/>
    <w:rsid w:val="417E3DFD"/>
    <w:rsid w:val="41A32979"/>
    <w:rsid w:val="41AF0796"/>
    <w:rsid w:val="41BC3179"/>
    <w:rsid w:val="41BE69B2"/>
    <w:rsid w:val="41D7545A"/>
    <w:rsid w:val="41D94C80"/>
    <w:rsid w:val="41E62047"/>
    <w:rsid w:val="41FF72B1"/>
    <w:rsid w:val="42067049"/>
    <w:rsid w:val="42083CDD"/>
    <w:rsid w:val="422529AE"/>
    <w:rsid w:val="424905AA"/>
    <w:rsid w:val="424E6821"/>
    <w:rsid w:val="42526945"/>
    <w:rsid w:val="42532C89"/>
    <w:rsid w:val="425C74A8"/>
    <w:rsid w:val="4267240B"/>
    <w:rsid w:val="42796C50"/>
    <w:rsid w:val="42894622"/>
    <w:rsid w:val="42955470"/>
    <w:rsid w:val="4299355B"/>
    <w:rsid w:val="42A11B15"/>
    <w:rsid w:val="42A34099"/>
    <w:rsid w:val="42AC6F96"/>
    <w:rsid w:val="42B02FAE"/>
    <w:rsid w:val="42B907AA"/>
    <w:rsid w:val="42DA1507"/>
    <w:rsid w:val="42E312D8"/>
    <w:rsid w:val="42E62C2F"/>
    <w:rsid w:val="42F07E1B"/>
    <w:rsid w:val="42FF49D1"/>
    <w:rsid w:val="430C1F13"/>
    <w:rsid w:val="430F2C24"/>
    <w:rsid w:val="43183DCA"/>
    <w:rsid w:val="431A070D"/>
    <w:rsid w:val="4322254C"/>
    <w:rsid w:val="43241229"/>
    <w:rsid w:val="432C321A"/>
    <w:rsid w:val="43344B0C"/>
    <w:rsid w:val="4338068D"/>
    <w:rsid w:val="433F136A"/>
    <w:rsid w:val="435C6309"/>
    <w:rsid w:val="436245B7"/>
    <w:rsid w:val="437D1147"/>
    <w:rsid w:val="43814B3D"/>
    <w:rsid w:val="438F10F3"/>
    <w:rsid w:val="43D00F51"/>
    <w:rsid w:val="43D01F5F"/>
    <w:rsid w:val="43E24185"/>
    <w:rsid w:val="43F65F66"/>
    <w:rsid w:val="43F91C0A"/>
    <w:rsid w:val="4416656F"/>
    <w:rsid w:val="441F449C"/>
    <w:rsid w:val="44227B3C"/>
    <w:rsid w:val="443469F5"/>
    <w:rsid w:val="443A4B4B"/>
    <w:rsid w:val="44550C5F"/>
    <w:rsid w:val="446514C1"/>
    <w:rsid w:val="44674A04"/>
    <w:rsid w:val="44746242"/>
    <w:rsid w:val="44792A4D"/>
    <w:rsid w:val="44875DDD"/>
    <w:rsid w:val="44887311"/>
    <w:rsid w:val="44902D24"/>
    <w:rsid w:val="4495113F"/>
    <w:rsid w:val="44974341"/>
    <w:rsid w:val="44A165CD"/>
    <w:rsid w:val="44B712B1"/>
    <w:rsid w:val="44F7014F"/>
    <w:rsid w:val="44F96291"/>
    <w:rsid w:val="44FD49FE"/>
    <w:rsid w:val="44FE0475"/>
    <w:rsid w:val="45033542"/>
    <w:rsid w:val="450A49CF"/>
    <w:rsid w:val="450B59A8"/>
    <w:rsid w:val="451D240A"/>
    <w:rsid w:val="45294080"/>
    <w:rsid w:val="452D753B"/>
    <w:rsid w:val="453431F8"/>
    <w:rsid w:val="45375248"/>
    <w:rsid w:val="453E42E6"/>
    <w:rsid w:val="45486BFC"/>
    <w:rsid w:val="45506C9F"/>
    <w:rsid w:val="45610823"/>
    <w:rsid w:val="4561088F"/>
    <w:rsid w:val="456C1567"/>
    <w:rsid w:val="45847AF2"/>
    <w:rsid w:val="4586669D"/>
    <w:rsid w:val="459A793F"/>
    <w:rsid w:val="45B23337"/>
    <w:rsid w:val="45CD326A"/>
    <w:rsid w:val="461D300F"/>
    <w:rsid w:val="4649705B"/>
    <w:rsid w:val="465D1A44"/>
    <w:rsid w:val="46662BA3"/>
    <w:rsid w:val="46664AF9"/>
    <w:rsid w:val="46730226"/>
    <w:rsid w:val="468B67BA"/>
    <w:rsid w:val="46940536"/>
    <w:rsid w:val="46B73521"/>
    <w:rsid w:val="46CB7A7B"/>
    <w:rsid w:val="46CE490B"/>
    <w:rsid w:val="46D50659"/>
    <w:rsid w:val="46D55813"/>
    <w:rsid w:val="46E478C0"/>
    <w:rsid w:val="46F34380"/>
    <w:rsid w:val="46F42707"/>
    <w:rsid w:val="46F9097D"/>
    <w:rsid w:val="4713457F"/>
    <w:rsid w:val="47176528"/>
    <w:rsid w:val="472A14D5"/>
    <w:rsid w:val="472D0BC8"/>
    <w:rsid w:val="472D2E01"/>
    <w:rsid w:val="472E53A8"/>
    <w:rsid w:val="473B2C22"/>
    <w:rsid w:val="473E3CDC"/>
    <w:rsid w:val="47492480"/>
    <w:rsid w:val="475E605C"/>
    <w:rsid w:val="476E0986"/>
    <w:rsid w:val="47731991"/>
    <w:rsid w:val="47792DA9"/>
    <w:rsid w:val="478671C6"/>
    <w:rsid w:val="47955B12"/>
    <w:rsid w:val="479F5E65"/>
    <w:rsid w:val="47BB4083"/>
    <w:rsid w:val="47D04FF8"/>
    <w:rsid w:val="47E74026"/>
    <w:rsid w:val="47F4001F"/>
    <w:rsid w:val="4803540C"/>
    <w:rsid w:val="481B7F4A"/>
    <w:rsid w:val="482038B6"/>
    <w:rsid w:val="482C5AB1"/>
    <w:rsid w:val="48365E39"/>
    <w:rsid w:val="48440906"/>
    <w:rsid w:val="485E05A2"/>
    <w:rsid w:val="486D3E04"/>
    <w:rsid w:val="48851C8D"/>
    <w:rsid w:val="4888671A"/>
    <w:rsid w:val="48897994"/>
    <w:rsid w:val="488A293E"/>
    <w:rsid w:val="488B53AB"/>
    <w:rsid w:val="48A26A0D"/>
    <w:rsid w:val="48A818BF"/>
    <w:rsid w:val="48B502D6"/>
    <w:rsid w:val="48B92DB8"/>
    <w:rsid w:val="48BC0A30"/>
    <w:rsid w:val="48BE3273"/>
    <w:rsid w:val="48C91AC6"/>
    <w:rsid w:val="48C92DA1"/>
    <w:rsid w:val="48D10B50"/>
    <w:rsid w:val="48D20A53"/>
    <w:rsid w:val="48D55927"/>
    <w:rsid w:val="48FA1367"/>
    <w:rsid w:val="49013499"/>
    <w:rsid w:val="49105C83"/>
    <w:rsid w:val="49115968"/>
    <w:rsid w:val="49160F02"/>
    <w:rsid w:val="49470B5C"/>
    <w:rsid w:val="494C43B1"/>
    <w:rsid w:val="49756D70"/>
    <w:rsid w:val="49774042"/>
    <w:rsid w:val="4987021C"/>
    <w:rsid w:val="49913AA6"/>
    <w:rsid w:val="49950163"/>
    <w:rsid w:val="4995376D"/>
    <w:rsid w:val="499A72FA"/>
    <w:rsid w:val="49B85FCD"/>
    <w:rsid w:val="49C12A7C"/>
    <w:rsid w:val="49C66FB1"/>
    <w:rsid w:val="49D456E8"/>
    <w:rsid w:val="49E7482A"/>
    <w:rsid w:val="49EC6ED3"/>
    <w:rsid w:val="4A0006C1"/>
    <w:rsid w:val="4A037BB8"/>
    <w:rsid w:val="4A0B4515"/>
    <w:rsid w:val="4A1B3CCE"/>
    <w:rsid w:val="4A1D4294"/>
    <w:rsid w:val="4A2812E7"/>
    <w:rsid w:val="4A2F6710"/>
    <w:rsid w:val="4A3352FC"/>
    <w:rsid w:val="4A355B37"/>
    <w:rsid w:val="4A4B596F"/>
    <w:rsid w:val="4A4E6A63"/>
    <w:rsid w:val="4A5D5AE3"/>
    <w:rsid w:val="4A640221"/>
    <w:rsid w:val="4A6F4C2B"/>
    <w:rsid w:val="4A7D7312"/>
    <w:rsid w:val="4A8B64A2"/>
    <w:rsid w:val="4A930CF3"/>
    <w:rsid w:val="4A93549B"/>
    <w:rsid w:val="4A953621"/>
    <w:rsid w:val="4A9D2E08"/>
    <w:rsid w:val="4A9D5712"/>
    <w:rsid w:val="4A9F0A7B"/>
    <w:rsid w:val="4AA46683"/>
    <w:rsid w:val="4AB15AC8"/>
    <w:rsid w:val="4AB415E6"/>
    <w:rsid w:val="4AC44A00"/>
    <w:rsid w:val="4ACA6F81"/>
    <w:rsid w:val="4AEE2AC8"/>
    <w:rsid w:val="4B007631"/>
    <w:rsid w:val="4B0223BF"/>
    <w:rsid w:val="4B15132F"/>
    <w:rsid w:val="4B2C3957"/>
    <w:rsid w:val="4B313441"/>
    <w:rsid w:val="4B321E5C"/>
    <w:rsid w:val="4B332192"/>
    <w:rsid w:val="4B3368DC"/>
    <w:rsid w:val="4B4850EE"/>
    <w:rsid w:val="4B4974CE"/>
    <w:rsid w:val="4B684745"/>
    <w:rsid w:val="4B745DDD"/>
    <w:rsid w:val="4B8900DC"/>
    <w:rsid w:val="4B90275A"/>
    <w:rsid w:val="4B9326EB"/>
    <w:rsid w:val="4BA86514"/>
    <w:rsid w:val="4BAA6DE2"/>
    <w:rsid w:val="4BB93E13"/>
    <w:rsid w:val="4BC03A92"/>
    <w:rsid w:val="4C121897"/>
    <w:rsid w:val="4C2832E3"/>
    <w:rsid w:val="4C292E0A"/>
    <w:rsid w:val="4C325F10"/>
    <w:rsid w:val="4C4243A5"/>
    <w:rsid w:val="4C4513ED"/>
    <w:rsid w:val="4C5A180B"/>
    <w:rsid w:val="4C63361E"/>
    <w:rsid w:val="4C672989"/>
    <w:rsid w:val="4C6F597E"/>
    <w:rsid w:val="4C8512B1"/>
    <w:rsid w:val="4C9B00A5"/>
    <w:rsid w:val="4CBA03C8"/>
    <w:rsid w:val="4CC34DBA"/>
    <w:rsid w:val="4CC75310"/>
    <w:rsid w:val="4CDB6A43"/>
    <w:rsid w:val="4CFB4D35"/>
    <w:rsid w:val="4D096E33"/>
    <w:rsid w:val="4D1F0243"/>
    <w:rsid w:val="4D2E1D56"/>
    <w:rsid w:val="4D324762"/>
    <w:rsid w:val="4D3C5B07"/>
    <w:rsid w:val="4D443A22"/>
    <w:rsid w:val="4D506967"/>
    <w:rsid w:val="4D7C28FE"/>
    <w:rsid w:val="4D802102"/>
    <w:rsid w:val="4D904A99"/>
    <w:rsid w:val="4DE26859"/>
    <w:rsid w:val="4DE82D2A"/>
    <w:rsid w:val="4DF27315"/>
    <w:rsid w:val="4DF965B3"/>
    <w:rsid w:val="4E016A9F"/>
    <w:rsid w:val="4E091301"/>
    <w:rsid w:val="4E0D0785"/>
    <w:rsid w:val="4E133411"/>
    <w:rsid w:val="4E2672B6"/>
    <w:rsid w:val="4E365006"/>
    <w:rsid w:val="4E4E1D49"/>
    <w:rsid w:val="4E4F0DCF"/>
    <w:rsid w:val="4E5B2B30"/>
    <w:rsid w:val="4E5B73FE"/>
    <w:rsid w:val="4E667C05"/>
    <w:rsid w:val="4E8D5131"/>
    <w:rsid w:val="4E9C7D73"/>
    <w:rsid w:val="4EA0527F"/>
    <w:rsid w:val="4EAE0EAA"/>
    <w:rsid w:val="4ECA7482"/>
    <w:rsid w:val="4ED52961"/>
    <w:rsid w:val="4EE5550D"/>
    <w:rsid w:val="4EED1E85"/>
    <w:rsid w:val="4F0376DF"/>
    <w:rsid w:val="4F117740"/>
    <w:rsid w:val="4F182F27"/>
    <w:rsid w:val="4F2A6A41"/>
    <w:rsid w:val="4F2B7CCD"/>
    <w:rsid w:val="4F3E0A38"/>
    <w:rsid w:val="4F4E3C0E"/>
    <w:rsid w:val="4F56149D"/>
    <w:rsid w:val="4F6531CB"/>
    <w:rsid w:val="4F6C7674"/>
    <w:rsid w:val="4F824442"/>
    <w:rsid w:val="4F8602DE"/>
    <w:rsid w:val="4F9C7D11"/>
    <w:rsid w:val="4F9F23BF"/>
    <w:rsid w:val="4FB65132"/>
    <w:rsid w:val="4FC229E9"/>
    <w:rsid w:val="4FC84B66"/>
    <w:rsid w:val="4FCF1E6A"/>
    <w:rsid w:val="4FD46714"/>
    <w:rsid w:val="500D0893"/>
    <w:rsid w:val="50155C5D"/>
    <w:rsid w:val="501C6CBB"/>
    <w:rsid w:val="503D432E"/>
    <w:rsid w:val="503F4674"/>
    <w:rsid w:val="50424937"/>
    <w:rsid w:val="5045510A"/>
    <w:rsid w:val="5075472B"/>
    <w:rsid w:val="50847B7A"/>
    <w:rsid w:val="508B5B06"/>
    <w:rsid w:val="508C4AED"/>
    <w:rsid w:val="50D86F9C"/>
    <w:rsid w:val="50D92DFE"/>
    <w:rsid w:val="50E57656"/>
    <w:rsid w:val="510D3F66"/>
    <w:rsid w:val="510D5B91"/>
    <w:rsid w:val="512E6B3B"/>
    <w:rsid w:val="51316796"/>
    <w:rsid w:val="51436FAF"/>
    <w:rsid w:val="515A4212"/>
    <w:rsid w:val="51694507"/>
    <w:rsid w:val="516E636D"/>
    <w:rsid w:val="51701EF3"/>
    <w:rsid w:val="5189280F"/>
    <w:rsid w:val="51961131"/>
    <w:rsid w:val="51994EE6"/>
    <w:rsid w:val="51AB7D16"/>
    <w:rsid w:val="51B8362B"/>
    <w:rsid w:val="51C4205B"/>
    <w:rsid w:val="51C841A8"/>
    <w:rsid w:val="51D7581C"/>
    <w:rsid w:val="51E110FE"/>
    <w:rsid w:val="51EC46C7"/>
    <w:rsid w:val="52193000"/>
    <w:rsid w:val="521D7EDB"/>
    <w:rsid w:val="521E7D9F"/>
    <w:rsid w:val="523E560F"/>
    <w:rsid w:val="523F45AF"/>
    <w:rsid w:val="526A1B11"/>
    <w:rsid w:val="52795161"/>
    <w:rsid w:val="52867DCC"/>
    <w:rsid w:val="52871D36"/>
    <w:rsid w:val="52B5761E"/>
    <w:rsid w:val="52BB7E9E"/>
    <w:rsid w:val="52C11B0B"/>
    <w:rsid w:val="52D74849"/>
    <w:rsid w:val="52DB28C8"/>
    <w:rsid w:val="52F64FC3"/>
    <w:rsid w:val="531336D9"/>
    <w:rsid w:val="53145E1D"/>
    <w:rsid w:val="532E5B69"/>
    <w:rsid w:val="53323C85"/>
    <w:rsid w:val="53515F52"/>
    <w:rsid w:val="535C5716"/>
    <w:rsid w:val="53755755"/>
    <w:rsid w:val="538E7ED0"/>
    <w:rsid w:val="539A5E4B"/>
    <w:rsid w:val="539D11A0"/>
    <w:rsid w:val="53C1062D"/>
    <w:rsid w:val="544A053B"/>
    <w:rsid w:val="544D1E72"/>
    <w:rsid w:val="5456360A"/>
    <w:rsid w:val="547A13B2"/>
    <w:rsid w:val="5497130A"/>
    <w:rsid w:val="54B25ACF"/>
    <w:rsid w:val="54BA1926"/>
    <w:rsid w:val="54EA553D"/>
    <w:rsid w:val="54ED71DB"/>
    <w:rsid w:val="55157CB9"/>
    <w:rsid w:val="551F50A3"/>
    <w:rsid w:val="552E742E"/>
    <w:rsid w:val="5534169F"/>
    <w:rsid w:val="553B43C0"/>
    <w:rsid w:val="55476195"/>
    <w:rsid w:val="55662312"/>
    <w:rsid w:val="55705CDD"/>
    <w:rsid w:val="557112AA"/>
    <w:rsid w:val="557D787B"/>
    <w:rsid w:val="5586196E"/>
    <w:rsid w:val="558B0C74"/>
    <w:rsid w:val="55913CA7"/>
    <w:rsid w:val="55980A4A"/>
    <w:rsid w:val="55BC510E"/>
    <w:rsid w:val="55C360F3"/>
    <w:rsid w:val="55CA6860"/>
    <w:rsid w:val="55CE0B76"/>
    <w:rsid w:val="55D10F41"/>
    <w:rsid w:val="55D166A2"/>
    <w:rsid w:val="55E04C64"/>
    <w:rsid w:val="55E70297"/>
    <w:rsid w:val="56056CD5"/>
    <w:rsid w:val="566B086C"/>
    <w:rsid w:val="56766948"/>
    <w:rsid w:val="567A229F"/>
    <w:rsid w:val="567E220E"/>
    <w:rsid w:val="56933DD9"/>
    <w:rsid w:val="56934C58"/>
    <w:rsid w:val="56AA7C9B"/>
    <w:rsid w:val="56AF42BE"/>
    <w:rsid w:val="56BD3048"/>
    <w:rsid w:val="56C34717"/>
    <w:rsid w:val="56C97471"/>
    <w:rsid w:val="56D21F7F"/>
    <w:rsid w:val="56EB3ABE"/>
    <w:rsid w:val="56F3642F"/>
    <w:rsid w:val="56F40F2C"/>
    <w:rsid w:val="570D1103"/>
    <w:rsid w:val="57117A65"/>
    <w:rsid w:val="571B459B"/>
    <w:rsid w:val="57201787"/>
    <w:rsid w:val="572512C1"/>
    <w:rsid w:val="572D3AAA"/>
    <w:rsid w:val="572F482D"/>
    <w:rsid w:val="5738017F"/>
    <w:rsid w:val="57405CAB"/>
    <w:rsid w:val="574774B7"/>
    <w:rsid w:val="57577754"/>
    <w:rsid w:val="57592091"/>
    <w:rsid w:val="575B5259"/>
    <w:rsid w:val="576B265D"/>
    <w:rsid w:val="576D7F38"/>
    <w:rsid w:val="576F7414"/>
    <w:rsid w:val="57963D2D"/>
    <w:rsid w:val="579E7AD8"/>
    <w:rsid w:val="57A41AD1"/>
    <w:rsid w:val="57A51427"/>
    <w:rsid w:val="57AC4527"/>
    <w:rsid w:val="57CD4A77"/>
    <w:rsid w:val="57D84A00"/>
    <w:rsid w:val="58044C05"/>
    <w:rsid w:val="581626C4"/>
    <w:rsid w:val="582C714D"/>
    <w:rsid w:val="58336474"/>
    <w:rsid w:val="58390ACE"/>
    <w:rsid w:val="584B3F13"/>
    <w:rsid w:val="585D5B6E"/>
    <w:rsid w:val="589A018E"/>
    <w:rsid w:val="589F3F75"/>
    <w:rsid w:val="58A147C3"/>
    <w:rsid w:val="58A50D34"/>
    <w:rsid w:val="58AE40D4"/>
    <w:rsid w:val="58B74A7A"/>
    <w:rsid w:val="58CA6E35"/>
    <w:rsid w:val="58D32D5B"/>
    <w:rsid w:val="58DB6673"/>
    <w:rsid w:val="58DF7FB1"/>
    <w:rsid w:val="58F55743"/>
    <w:rsid w:val="590803EC"/>
    <w:rsid w:val="590B15D2"/>
    <w:rsid w:val="590C3D43"/>
    <w:rsid w:val="590F4F84"/>
    <w:rsid w:val="591D7574"/>
    <w:rsid w:val="591F76A9"/>
    <w:rsid w:val="59261B0A"/>
    <w:rsid w:val="59262959"/>
    <w:rsid w:val="59397098"/>
    <w:rsid w:val="59476B94"/>
    <w:rsid w:val="595B0C71"/>
    <w:rsid w:val="595F4623"/>
    <w:rsid w:val="59737F43"/>
    <w:rsid w:val="5993185B"/>
    <w:rsid w:val="59960F02"/>
    <w:rsid w:val="59B2307E"/>
    <w:rsid w:val="59C4368F"/>
    <w:rsid w:val="59CA34D9"/>
    <w:rsid w:val="59EA4856"/>
    <w:rsid w:val="59F11DA1"/>
    <w:rsid w:val="59F64346"/>
    <w:rsid w:val="5A3D4747"/>
    <w:rsid w:val="5A4C6A6D"/>
    <w:rsid w:val="5A59339E"/>
    <w:rsid w:val="5A5E0F3E"/>
    <w:rsid w:val="5A63780E"/>
    <w:rsid w:val="5A752606"/>
    <w:rsid w:val="5A797C39"/>
    <w:rsid w:val="5A895C0D"/>
    <w:rsid w:val="5A957D96"/>
    <w:rsid w:val="5ABC992B"/>
    <w:rsid w:val="5AE74D94"/>
    <w:rsid w:val="5AED0407"/>
    <w:rsid w:val="5AF055CE"/>
    <w:rsid w:val="5AF467CB"/>
    <w:rsid w:val="5AF82476"/>
    <w:rsid w:val="5B114A4F"/>
    <w:rsid w:val="5B1677B1"/>
    <w:rsid w:val="5B241712"/>
    <w:rsid w:val="5B2A278C"/>
    <w:rsid w:val="5B2A718E"/>
    <w:rsid w:val="5B2B211E"/>
    <w:rsid w:val="5B2F3C68"/>
    <w:rsid w:val="5B417CAB"/>
    <w:rsid w:val="5B4D241F"/>
    <w:rsid w:val="5B4E4003"/>
    <w:rsid w:val="5B5A7EE3"/>
    <w:rsid w:val="5B5B563F"/>
    <w:rsid w:val="5B606C56"/>
    <w:rsid w:val="5B744077"/>
    <w:rsid w:val="5B7E1147"/>
    <w:rsid w:val="5B81031A"/>
    <w:rsid w:val="5B8363CF"/>
    <w:rsid w:val="5B945668"/>
    <w:rsid w:val="5BA74384"/>
    <w:rsid w:val="5BC152B9"/>
    <w:rsid w:val="5BE06E51"/>
    <w:rsid w:val="5BE67F51"/>
    <w:rsid w:val="5BFA158B"/>
    <w:rsid w:val="5BFF0473"/>
    <w:rsid w:val="5C0713F1"/>
    <w:rsid w:val="5C0C15AF"/>
    <w:rsid w:val="5C0D24F6"/>
    <w:rsid w:val="5C10503A"/>
    <w:rsid w:val="5C130B77"/>
    <w:rsid w:val="5C193F36"/>
    <w:rsid w:val="5C21081B"/>
    <w:rsid w:val="5C25339C"/>
    <w:rsid w:val="5C52693C"/>
    <w:rsid w:val="5C556587"/>
    <w:rsid w:val="5C67284E"/>
    <w:rsid w:val="5C856A69"/>
    <w:rsid w:val="5C972356"/>
    <w:rsid w:val="5CAC0905"/>
    <w:rsid w:val="5CB53FA9"/>
    <w:rsid w:val="5CB6021B"/>
    <w:rsid w:val="5CD16796"/>
    <w:rsid w:val="5CDE7BE5"/>
    <w:rsid w:val="5CE01284"/>
    <w:rsid w:val="5CEF5FE0"/>
    <w:rsid w:val="5D0A00FD"/>
    <w:rsid w:val="5D15305C"/>
    <w:rsid w:val="5D1C662F"/>
    <w:rsid w:val="5D211CC8"/>
    <w:rsid w:val="5D26084E"/>
    <w:rsid w:val="5D2B62F0"/>
    <w:rsid w:val="5D375ACB"/>
    <w:rsid w:val="5D3A4A59"/>
    <w:rsid w:val="5D443C29"/>
    <w:rsid w:val="5D50269A"/>
    <w:rsid w:val="5D635D46"/>
    <w:rsid w:val="5D646789"/>
    <w:rsid w:val="5D6B6D14"/>
    <w:rsid w:val="5D6D50FC"/>
    <w:rsid w:val="5D704086"/>
    <w:rsid w:val="5D816049"/>
    <w:rsid w:val="5D8841A5"/>
    <w:rsid w:val="5D8F0AE8"/>
    <w:rsid w:val="5DA1529F"/>
    <w:rsid w:val="5DB87DB8"/>
    <w:rsid w:val="5DC63E38"/>
    <w:rsid w:val="5DCE3C6A"/>
    <w:rsid w:val="5DD456E3"/>
    <w:rsid w:val="5DE62DE6"/>
    <w:rsid w:val="5DE66E80"/>
    <w:rsid w:val="5DEC73DE"/>
    <w:rsid w:val="5DF623CB"/>
    <w:rsid w:val="5E031D96"/>
    <w:rsid w:val="5E09543A"/>
    <w:rsid w:val="5E1107F1"/>
    <w:rsid w:val="5E32122B"/>
    <w:rsid w:val="5E591B3D"/>
    <w:rsid w:val="5E613BCC"/>
    <w:rsid w:val="5E6C2FD4"/>
    <w:rsid w:val="5EA031AD"/>
    <w:rsid w:val="5EBE779C"/>
    <w:rsid w:val="5EDB4154"/>
    <w:rsid w:val="5EDD4CF4"/>
    <w:rsid w:val="5EE4662E"/>
    <w:rsid w:val="5EEB098C"/>
    <w:rsid w:val="5EEC7760"/>
    <w:rsid w:val="5EEC7D9E"/>
    <w:rsid w:val="5EF914D7"/>
    <w:rsid w:val="5F032700"/>
    <w:rsid w:val="5F062DE3"/>
    <w:rsid w:val="5F0878C8"/>
    <w:rsid w:val="5F152E35"/>
    <w:rsid w:val="5F2450A7"/>
    <w:rsid w:val="5F3E37CF"/>
    <w:rsid w:val="5F4029CA"/>
    <w:rsid w:val="5FA9611D"/>
    <w:rsid w:val="5FC04E6C"/>
    <w:rsid w:val="5FC563A6"/>
    <w:rsid w:val="5FCF5929"/>
    <w:rsid w:val="5FDC1CF0"/>
    <w:rsid w:val="5FF8713D"/>
    <w:rsid w:val="601212B1"/>
    <w:rsid w:val="60152EF4"/>
    <w:rsid w:val="601D1AAA"/>
    <w:rsid w:val="603D7EBB"/>
    <w:rsid w:val="604E64B1"/>
    <w:rsid w:val="606518A2"/>
    <w:rsid w:val="60C10A37"/>
    <w:rsid w:val="60C24637"/>
    <w:rsid w:val="60C67D59"/>
    <w:rsid w:val="60ED6A58"/>
    <w:rsid w:val="61160A8E"/>
    <w:rsid w:val="611834CF"/>
    <w:rsid w:val="6121389B"/>
    <w:rsid w:val="61253856"/>
    <w:rsid w:val="612E5E2E"/>
    <w:rsid w:val="613A51F3"/>
    <w:rsid w:val="61494F82"/>
    <w:rsid w:val="615F181D"/>
    <w:rsid w:val="61636FD1"/>
    <w:rsid w:val="61744FCA"/>
    <w:rsid w:val="6175447D"/>
    <w:rsid w:val="61777987"/>
    <w:rsid w:val="61782C5A"/>
    <w:rsid w:val="61824E34"/>
    <w:rsid w:val="618C58C6"/>
    <w:rsid w:val="618E6CA2"/>
    <w:rsid w:val="619F61D2"/>
    <w:rsid w:val="61CA3F9B"/>
    <w:rsid w:val="61D85060"/>
    <w:rsid w:val="61DC0268"/>
    <w:rsid w:val="61ED273B"/>
    <w:rsid w:val="61F10520"/>
    <w:rsid w:val="61F31D4A"/>
    <w:rsid w:val="61FF2689"/>
    <w:rsid w:val="621D6DDD"/>
    <w:rsid w:val="621F1C78"/>
    <w:rsid w:val="62416F40"/>
    <w:rsid w:val="624E3167"/>
    <w:rsid w:val="62581376"/>
    <w:rsid w:val="62692ED3"/>
    <w:rsid w:val="627A56A7"/>
    <w:rsid w:val="627C174F"/>
    <w:rsid w:val="62852947"/>
    <w:rsid w:val="628A7F3C"/>
    <w:rsid w:val="62A47747"/>
    <w:rsid w:val="62A50D92"/>
    <w:rsid w:val="62AD7C47"/>
    <w:rsid w:val="62CC376F"/>
    <w:rsid w:val="62CE25AE"/>
    <w:rsid w:val="62D37E8E"/>
    <w:rsid w:val="62D63DEF"/>
    <w:rsid w:val="62DA40F9"/>
    <w:rsid w:val="62E25B42"/>
    <w:rsid w:val="62EC799E"/>
    <w:rsid w:val="62F8570F"/>
    <w:rsid w:val="62FD297C"/>
    <w:rsid w:val="62FF6086"/>
    <w:rsid w:val="63057A83"/>
    <w:rsid w:val="631F5820"/>
    <w:rsid w:val="633D6887"/>
    <w:rsid w:val="633F2998"/>
    <w:rsid w:val="636A2F3F"/>
    <w:rsid w:val="637E5A18"/>
    <w:rsid w:val="637F7835"/>
    <w:rsid w:val="63871AD6"/>
    <w:rsid w:val="639950C3"/>
    <w:rsid w:val="639B50F3"/>
    <w:rsid w:val="63A17411"/>
    <w:rsid w:val="63A910E3"/>
    <w:rsid w:val="63AB659E"/>
    <w:rsid w:val="63BD4CD3"/>
    <w:rsid w:val="63F57217"/>
    <w:rsid w:val="63FA2DD0"/>
    <w:rsid w:val="641B0A12"/>
    <w:rsid w:val="643E1219"/>
    <w:rsid w:val="644C40E5"/>
    <w:rsid w:val="644E5E5E"/>
    <w:rsid w:val="6462760F"/>
    <w:rsid w:val="64807334"/>
    <w:rsid w:val="64A51FC2"/>
    <w:rsid w:val="64BB4D81"/>
    <w:rsid w:val="64C06BDD"/>
    <w:rsid w:val="64CA5D04"/>
    <w:rsid w:val="64E7566C"/>
    <w:rsid w:val="64ED17C0"/>
    <w:rsid w:val="64F36657"/>
    <w:rsid w:val="64FE0BF7"/>
    <w:rsid w:val="65015D38"/>
    <w:rsid w:val="650A7659"/>
    <w:rsid w:val="65155726"/>
    <w:rsid w:val="651B68C7"/>
    <w:rsid w:val="65202807"/>
    <w:rsid w:val="655F347A"/>
    <w:rsid w:val="65720723"/>
    <w:rsid w:val="657A5274"/>
    <w:rsid w:val="6586055E"/>
    <w:rsid w:val="659F41BF"/>
    <w:rsid w:val="65B22027"/>
    <w:rsid w:val="65BC6B1F"/>
    <w:rsid w:val="65C00909"/>
    <w:rsid w:val="65C9677F"/>
    <w:rsid w:val="65D02D93"/>
    <w:rsid w:val="65D12940"/>
    <w:rsid w:val="65D909D8"/>
    <w:rsid w:val="65E11361"/>
    <w:rsid w:val="65EB45D7"/>
    <w:rsid w:val="65FB1AA9"/>
    <w:rsid w:val="65FC334A"/>
    <w:rsid w:val="66151111"/>
    <w:rsid w:val="66262611"/>
    <w:rsid w:val="6630492F"/>
    <w:rsid w:val="6644687A"/>
    <w:rsid w:val="66485850"/>
    <w:rsid w:val="666D1BC7"/>
    <w:rsid w:val="667615B5"/>
    <w:rsid w:val="66763FE9"/>
    <w:rsid w:val="66994309"/>
    <w:rsid w:val="66A21769"/>
    <w:rsid w:val="66B26BDE"/>
    <w:rsid w:val="66C40EED"/>
    <w:rsid w:val="66D57F91"/>
    <w:rsid w:val="67184441"/>
    <w:rsid w:val="67220CEF"/>
    <w:rsid w:val="672A7AB8"/>
    <w:rsid w:val="672B0A15"/>
    <w:rsid w:val="6733085A"/>
    <w:rsid w:val="675A5C2F"/>
    <w:rsid w:val="67717C56"/>
    <w:rsid w:val="677B444A"/>
    <w:rsid w:val="6785108E"/>
    <w:rsid w:val="678544E2"/>
    <w:rsid w:val="67974EFA"/>
    <w:rsid w:val="67995CAF"/>
    <w:rsid w:val="679F49B5"/>
    <w:rsid w:val="67A60310"/>
    <w:rsid w:val="67BD7F8A"/>
    <w:rsid w:val="67BF6452"/>
    <w:rsid w:val="67C22B6C"/>
    <w:rsid w:val="67CB4587"/>
    <w:rsid w:val="67CE5FDD"/>
    <w:rsid w:val="67CE722C"/>
    <w:rsid w:val="67F1139D"/>
    <w:rsid w:val="67FB0408"/>
    <w:rsid w:val="6804655B"/>
    <w:rsid w:val="680E1D26"/>
    <w:rsid w:val="681F6C1C"/>
    <w:rsid w:val="682A05D3"/>
    <w:rsid w:val="68335B1F"/>
    <w:rsid w:val="685E7DA7"/>
    <w:rsid w:val="68613882"/>
    <w:rsid w:val="686265CC"/>
    <w:rsid w:val="68720460"/>
    <w:rsid w:val="68937518"/>
    <w:rsid w:val="68A46464"/>
    <w:rsid w:val="68AB0561"/>
    <w:rsid w:val="68D66D58"/>
    <w:rsid w:val="68DC04B5"/>
    <w:rsid w:val="68DC4AD8"/>
    <w:rsid w:val="68E551CB"/>
    <w:rsid w:val="68E72DED"/>
    <w:rsid w:val="69030138"/>
    <w:rsid w:val="690561EB"/>
    <w:rsid w:val="690567E6"/>
    <w:rsid w:val="691611BF"/>
    <w:rsid w:val="691777FF"/>
    <w:rsid w:val="693E5354"/>
    <w:rsid w:val="694609E6"/>
    <w:rsid w:val="694D7918"/>
    <w:rsid w:val="69643755"/>
    <w:rsid w:val="69675ACE"/>
    <w:rsid w:val="69823BDB"/>
    <w:rsid w:val="698E70D2"/>
    <w:rsid w:val="69AC1773"/>
    <w:rsid w:val="69AC4BF0"/>
    <w:rsid w:val="69B051C1"/>
    <w:rsid w:val="69B433F6"/>
    <w:rsid w:val="69B5453C"/>
    <w:rsid w:val="69B91EEE"/>
    <w:rsid w:val="69BF3383"/>
    <w:rsid w:val="69C63DCE"/>
    <w:rsid w:val="69D20F3F"/>
    <w:rsid w:val="69D73EDB"/>
    <w:rsid w:val="69EC3B7E"/>
    <w:rsid w:val="6A16450E"/>
    <w:rsid w:val="6A184AF9"/>
    <w:rsid w:val="6A381EBE"/>
    <w:rsid w:val="6A3E55FC"/>
    <w:rsid w:val="6A506A54"/>
    <w:rsid w:val="6A5229A6"/>
    <w:rsid w:val="6A6525AC"/>
    <w:rsid w:val="6A772B30"/>
    <w:rsid w:val="6AA67D9D"/>
    <w:rsid w:val="6AA733A7"/>
    <w:rsid w:val="6AB73D58"/>
    <w:rsid w:val="6AC472C0"/>
    <w:rsid w:val="6AF23413"/>
    <w:rsid w:val="6B01589B"/>
    <w:rsid w:val="6B037B21"/>
    <w:rsid w:val="6B085CB7"/>
    <w:rsid w:val="6B315BBE"/>
    <w:rsid w:val="6B5E2426"/>
    <w:rsid w:val="6B610780"/>
    <w:rsid w:val="6B646C01"/>
    <w:rsid w:val="6B6A16D2"/>
    <w:rsid w:val="6B6B4945"/>
    <w:rsid w:val="6B7541CC"/>
    <w:rsid w:val="6B9E326D"/>
    <w:rsid w:val="6B9E37AE"/>
    <w:rsid w:val="6BB2358C"/>
    <w:rsid w:val="6BE51C19"/>
    <w:rsid w:val="6BF57882"/>
    <w:rsid w:val="6BF97CD6"/>
    <w:rsid w:val="6C014B11"/>
    <w:rsid w:val="6C04365E"/>
    <w:rsid w:val="6C0576CF"/>
    <w:rsid w:val="6C1370B9"/>
    <w:rsid w:val="6C2C42D2"/>
    <w:rsid w:val="6C2F4355"/>
    <w:rsid w:val="6C31178A"/>
    <w:rsid w:val="6C33543F"/>
    <w:rsid w:val="6C3A21BF"/>
    <w:rsid w:val="6C4F53E9"/>
    <w:rsid w:val="6C536995"/>
    <w:rsid w:val="6C5902DE"/>
    <w:rsid w:val="6C5D2AF0"/>
    <w:rsid w:val="6C745FAA"/>
    <w:rsid w:val="6C7A7069"/>
    <w:rsid w:val="6C7D4C47"/>
    <w:rsid w:val="6C83683F"/>
    <w:rsid w:val="6C8B6D39"/>
    <w:rsid w:val="6C9A4C27"/>
    <w:rsid w:val="6CA16A6E"/>
    <w:rsid w:val="6CB3400B"/>
    <w:rsid w:val="6CB87914"/>
    <w:rsid w:val="6CC36FF9"/>
    <w:rsid w:val="6CF070AE"/>
    <w:rsid w:val="6CF3094C"/>
    <w:rsid w:val="6D0641D5"/>
    <w:rsid w:val="6D1D664D"/>
    <w:rsid w:val="6D275E81"/>
    <w:rsid w:val="6D41759A"/>
    <w:rsid w:val="6D563567"/>
    <w:rsid w:val="6D5E0131"/>
    <w:rsid w:val="6D6267D8"/>
    <w:rsid w:val="6D8709D1"/>
    <w:rsid w:val="6D87249F"/>
    <w:rsid w:val="6D9C2113"/>
    <w:rsid w:val="6DB24ECA"/>
    <w:rsid w:val="6DF2441D"/>
    <w:rsid w:val="6DF64B98"/>
    <w:rsid w:val="6DFE0EEF"/>
    <w:rsid w:val="6E070B53"/>
    <w:rsid w:val="6E0E3C8F"/>
    <w:rsid w:val="6E157FDC"/>
    <w:rsid w:val="6E1F7C4B"/>
    <w:rsid w:val="6E381595"/>
    <w:rsid w:val="6E512B99"/>
    <w:rsid w:val="6E546443"/>
    <w:rsid w:val="6E5D6C98"/>
    <w:rsid w:val="6E606BB3"/>
    <w:rsid w:val="6E684240"/>
    <w:rsid w:val="6E6D5949"/>
    <w:rsid w:val="6E884333"/>
    <w:rsid w:val="6E8B3D50"/>
    <w:rsid w:val="6EBF07AC"/>
    <w:rsid w:val="6EC95E08"/>
    <w:rsid w:val="6ED12D38"/>
    <w:rsid w:val="6ED83D84"/>
    <w:rsid w:val="6EEE539C"/>
    <w:rsid w:val="6EEF122D"/>
    <w:rsid w:val="6F0A7347"/>
    <w:rsid w:val="6F0C6381"/>
    <w:rsid w:val="6F1F50F6"/>
    <w:rsid w:val="6F282F02"/>
    <w:rsid w:val="6F2D4D2B"/>
    <w:rsid w:val="6F3C4C64"/>
    <w:rsid w:val="6F4A361B"/>
    <w:rsid w:val="6F502F0A"/>
    <w:rsid w:val="6F6C1F70"/>
    <w:rsid w:val="6F7F1FB1"/>
    <w:rsid w:val="6F820117"/>
    <w:rsid w:val="6F87457A"/>
    <w:rsid w:val="6F8B0F71"/>
    <w:rsid w:val="6F9762E6"/>
    <w:rsid w:val="6F9B5A0F"/>
    <w:rsid w:val="6F9D45BD"/>
    <w:rsid w:val="6FAC7FD2"/>
    <w:rsid w:val="6FCB6A89"/>
    <w:rsid w:val="6FCF600D"/>
    <w:rsid w:val="6FD47490"/>
    <w:rsid w:val="6FE22D41"/>
    <w:rsid w:val="6FF303EE"/>
    <w:rsid w:val="70057B0D"/>
    <w:rsid w:val="700C50CE"/>
    <w:rsid w:val="701555AC"/>
    <w:rsid w:val="701A73D8"/>
    <w:rsid w:val="702A0BF7"/>
    <w:rsid w:val="703244E4"/>
    <w:rsid w:val="7046708D"/>
    <w:rsid w:val="70481727"/>
    <w:rsid w:val="7054771F"/>
    <w:rsid w:val="7062645C"/>
    <w:rsid w:val="709335E5"/>
    <w:rsid w:val="70954C30"/>
    <w:rsid w:val="70965D8F"/>
    <w:rsid w:val="709867C6"/>
    <w:rsid w:val="709968C2"/>
    <w:rsid w:val="70A07926"/>
    <w:rsid w:val="70A7060F"/>
    <w:rsid w:val="70B454E6"/>
    <w:rsid w:val="70B51D3C"/>
    <w:rsid w:val="70B825D8"/>
    <w:rsid w:val="70D01BF3"/>
    <w:rsid w:val="70D51364"/>
    <w:rsid w:val="70F7668F"/>
    <w:rsid w:val="70FC1C40"/>
    <w:rsid w:val="71046310"/>
    <w:rsid w:val="710A1EA9"/>
    <w:rsid w:val="71103FB0"/>
    <w:rsid w:val="711D0C63"/>
    <w:rsid w:val="71250BA4"/>
    <w:rsid w:val="71347EB1"/>
    <w:rsid w:val="714A54A7"/>
    <w:rsid w:val="715330C9"/>
    <w:rsid w:val="71535E5D"/>
    <w:rsid w:val="715F2CD2"/>
    <w:rsid w:val="716B22FD"/>
    <w:rsid w:val="71864485"/>
    <w:rsid w:val="71882898"/>
    <w:rsid w:val="719253D4"/>
    <w:rsid w:val="719557D4"/>
    <w:rsid w:val="71A64524"/>
    <w:rsid w:val="71BD0B1C"/>
    <w:rsid w:val="71C27692"/>
    <w:rsid w:val="71E1711D"/>
    <w:rsid w:val="71F14FFE"/>
    <w:rsid w:val="72067721"/>
    <w:rsid w:val="720B4060"/>
    <w:rsid w:val="721C26D5"/>
    <w:rsid w:val="722B5F9E"/>
    <w:rsid w:val="723914F7"/>
    <w:rsid w:val="724063E2"/>
    <w:rsid w:val="72444124"/>
    <w:rsid w:val="724B2650"/>
    <w:rsid w:val="724F3251"/>
    <w:rsid w:val="72795D98"/>
    <w:rsid w:val="727C5660"/>
    <w:rsid w:val="72937F38"/>
    <w:rsid w:val="72952FD2"/>
    <w:rsid w:val="729D2EE9"/>
    <w:rsid w:val="729D3E05"/>
    <w:rsid w:val="72A260C2"/>
    <w:rsid w:val="72A921D9"/>
    <w:rsid w:val="72B05C4F"/>
    <w:rsid w:val="72BB4AD0"/>
    <w:rsid w:val="72BD1519"/>
    <w:rsid w:val="72BE5C43"/>
    <w:rsid w:val="72D015EC"/>
    <w:rsid w:val="72EF6C33"/>
    <w:rsid w:val="73001EBD"/>
    <w:rsid w:val="730067C7"/>
    <w:rsid w:val="730B5F46"/>
    <w:rsid w:val="730F6B41"/>
    <w:rsid w:val="7312082D"/>
    <w:rsid w:val="73197C0A"/>
    <w:rsid w:val="733A0300"/>
    <w:rsid w:val="733F1A1C"/>
    <w:rsid w:val="733F3D66"/>
    <w:rsid w:val="73502F18"/>
    <w:rsid w:val="735251A1"/>
    <w:rsid w:val="735C2FC4"/>
    <w:rsid w:val="735E345C"/>
    <w:rsid w:val="737F118B"/>
    <w:rsid w:val="739D23CB"/>
    <w:rsid w:val="73A23517"/>
    <w:rsid w:val="73AA32C7"/>
    <w:rsid w:val="73AF1A0C"/>
    <w:rsid w:val="73B20F7C"/>
    <w:rsid w:val="73BA1341"/>
    <w:rsid w:val="73BC1ECE"/>
    <w:rsid w:val="73C13305"/>
    <w:rsid w:val="73D22AAA"/>
    <w:rsid w:val="73DC661E"/>
    <w:rsid w:val="73F86875"/>
    <w:rsid w:val="73FF7A72"/>
    <w:rsid w:val="7402688B"/>
    <w:rsid w:val="7403649F"/>
    <w:rsid w:val="7408173C"/>
    <w:rsid w:val="74205822"/>
    <w:rsid w:val="74266A8D"/>
    <w:rsid w:val="74303CED"/>
    <w:rsid w:val="743E428E"/>
    <w:rsid w:val="744C03D4"/>
    <w:rsid w:val="748317FC"/>
    <w:rsid w:val="748E2913"/>
    <w:rsid w:val="74C10EDD"/>
    <w:rsid w:val="74C713A7"/>
    <w:rsid w:val="74C74415"/>
    <w:rsid w:val="75116454"/>
    <w:rsid w:val="75300DAD"/>
    <w:rsid w:val="753646F5"/>
    <w:rsid w:val="754B3DA7"/>
    <w:rsid w:val="75630D65"/>
    <w:rsid w:val="75703BC8"/>
    <w:rsid w:val="75764659"/>
    <w:rsid w:val="75805112"/>
    <w:rsid w:val="758611F4"/>
    <w:rsid w:val="75A411FE"/>
    <w:rsid w:val="75A67F5C"/>
    <w:rsid w:val="75B67A53"/>
    <w:rsid w:val="75C17839"/>
    <w:rsid w:val="75C35626"/>
    <w:rsid w:val="75DD7F94"/>
    <w:rsid w:val="75EF25F8"/>
    <w:rsid w:val="760F7515"/>
    <w:rsid w:val="761A054A"/>
    <w:rsid w:val="76297AAD"/>
    <w:rsid w:val="762A0C0D"/>
    <w:rsid w:val="762B1F2C"/>
    <w:rsid w:val="764741E2"/>
    <w:rsid w:val="765546B6"/>
    <w:rsid w:val="76923472"/>
    <w:rsid w:val="76956FDE"/>
    <w:rsid w:val="76AD6365"/>
    <w:rsid w:val="76B82BCB"/>
    <w:rsid w:val="76C515AF"/>
    <w:rsid w:val="76CE3068"/>
    <w:rsid w:val="76EF6FF2"/>
    <w:rsid w:val="76F84782"/>
    <w:rsid w:val="771164E9"/>
    <w:rsid w:val="771571F0"/>
    <w:rsid w:val="77296985"/>
    <w:rsid w:val="77540181"/>
    <w:rsid w:val="775566B6"/>
    <w:rsid w:val="776552C1"/>
    <w:rsid w:val="77660F86"/>
    <w:rsid w:val="778E1D49"/>
    <w:rsid w:val="77955E6B"/>
    <w:rsid w:val="77B369E2"/>
    <w:rsid w:val="77CB2D76"/>
    <w:rsid w:val="77D87AEF"/>
    <w:rsid w:val="77ED4864"/>
    <w:rsid w:val="78026D68"/>
    <w:rsid w:val="78102090"/>
    <w:rsid w:val="78111F45"/>
    <w:rsid w:val="781D0F04"/>
    <w:rsid w:val="785053BC"/>
    <w:rsid w:val="78513BCB"/>
    <w:rsid w:val="78532C2C"/>
    <w:rsid w:val="785F0B59"/>
    <w:rsid w:val="786015D1"/>
    <w:rsid w:val="786D1EFA"/>
    <w:rsid w:val="787A6801"/>
    <w:rsid w:val="788A17B3"/>
    <w:rsid w:val="78972FDC"/>
    <w:rsid w:val="78984156"/>
    <w:rsid w:val="78A97D5F"/>
    <w:rsid w:val="78AA2BB8"/>
    <w:rsid w:val="78BA7F02"/>
    <w:rsid w:val="78C10663"/>
    <w:rsid w:val="790243D4"/>
    <w:rsid w:val="790855E1"/>
    <w:rsid w:val="7911196A"/>
    <w:rsid w:val="7912723F"/>
    <w:rsid w:val="792B2914"/>
    <w:rsid w:val="7967259A"/>
    <w:rsid w:val="796926C2"/>
    <w:rsid w:val="79702318"/>
    <w:rsid w:val="797300DC"/>
    <w:rsid w:val="79775FD9"/>
    <w:rsid w:val="79807E15"/>
    <w:rsid w:val="798F696C"/>
    <w:rsid w:val="79981E2C"/>
    <w:rsid w:val="79A35606"/>
    <w:rsid w:val="79A97C42"/>
    <w:rsid w:val="79C16300"/>
    <w:rsid w:val="79C50ED9"/>
    <w:rsid w:val="79CD3CB5"/>
    <w:rsid w:val="79D3198C"/>
    <w:rsid w:val="79DF3573"/>
    <w:rsid w:val="7A0273B1"/>
    <w:rsid w:val="7A26249F"/>
    <w:rsid w:val="7A272253"/>
    <w:rsid w:val="7A3C40F7"/>
    <w:rsid w:val="7A52218A"/>
    <w:rsid w:val="7A7032EC"/>
    <w:rsid w:val="7A8814C9"/>
    <w:rsid w:val="7A8A67D3"/>
    <w:rsid w:val="7AC540CB"/>
    <w:rsid w:val="7AC66C20"/>
    <w:rsid w:val="7ACA3D88"/>
    <w:rsid w:val="7ACC22ED"/>
    <w:rsid w:val="7AD24297"/>
    <w:rsid w:val="7AF0230E"/>
    <w:rsid w:val="7AF17201"/>
    <w:rsid w:val="7B084A84"/>
    <w:rsid w:val="7B1816CA"/>
    <w:rsid w:val="7B1B387B"/>
    <w:rsid w:val="7B1C75F7"/>
    <w:rsid w:val="7B1F11B5"/>
    <w:rsid w:val="7B276C4E"/>
    <w:rsid w:val="7B4C50B0"/>
    <w:rsid w:val="7B530F85"/>
    <w:rsid w:val="7B5F66A8"/>
    <w:rsid w:val="7B616756"/>
    <w:rsid w:val="7B711D02"/>
    <w:rsid w:val="7B8D2102"/>
    <w:rsid w:val="7BAE72F8"/>
    <w:rsid w:val="7BDC27C3"/>
    <w:rsid w:val="7BDD61BE"/>
    <w:rsid w:val="7BE76E70"/>
    <w:rsid w:val="7BED0E45"/>
    <w:rsid w:val="7C0004DA"/>
    <w:rsid w:val="7C085B2C"/>
    <w:rsid w:val="7C0865AF"/>
    <w:rsid w:val="7C0F4C8A"/>
    <w:rsid w:val="7C2A2377"/>
    <w:rsid w:val="7C315EA6"/>
    <w:rsid w:val="7C423C94"/>
    <w:rsid w:val="7C757ED7"/>
    <w:rsid w:val="7C762CDC"/>
    <w:rsid w:val="7C9B44C9"/>
    <w:rsid w:val="7C9D3229"/>
    <w:rsid w:val="7CA57A6F"/>
    <w:rsid w:val="7CBB3234"/>
    <w:rsid w:val="7CC67ECC"/>
    <w:rsid w:val="7CCE17C6"/>
    <w:rsid w:val="7CD940A3"/>
    <w:rsid w:val="7CE15123"/>
    <w:rsid w:val="7CEC7D3F"/>
    <w:rsid w:val="7CFF5A5B"/>
    <w:rsid w:val="7D092130"/>
    <w:rsid w:val="7D0C539C"/>
    <w:rsid w:val="7D1425F3"/>
    <w:rsid w:val="7D2D01A7"/>
    <w:rsid w:val="7D2E0757"/>
    <w:rsid w:val="7D3C2FA6"/>
    <w:rsid w:val="7D425BAE"/>
    <w:rsid w:val="7D4D742B"/>
    <w:rsid w:val="7D507518"/>
    <w:rsid w:val="7D543431"/>
    <w:rsid w:val="7D562355"/>
    <w:rsid w:val="7D755AD9"/>
    <w:rsid w:val="7D79129E"/>
    <w:rsid w:val="7D835916"/>
    <w:rsid w:val="7D8C45FD"/>
    <w:rsid w:val="7D8E0959"/>
    <w:rsid w:val="7D935C18"/>
    <w:rsid w:val="7D9615AC"/>
    <w:rsid w:val="7DAF1F89"/>
    <w:rsid w:val="7DB17AF6"/>
    <w:rsid w:val="7DC65F12"/>
    <w:rsid w:val="7DD35A66"/>
    <w:rsid w:val="7DE63061"/>
    <w:rsid w:val="7DE64B25"/>
    <w:rsid w:val="7DE747D2"/>
    <w:rsid w:val="7DF2712A"/>
    <w:rsid w:val="7DF50FCF"/>
    <w:rsid w:val="7E0D1DA4"/>
    <w:rsid w:val="7E1B63CF"/>
    <w:rsid w:val="7E274D38"/>
    <w:rsid w:val="7E2C65A4"/>
    <w:rsid w:val="7E2E57EE"/>
    <w:rsid w:val="7E402DC9"/>
    <w:rsid w:val="7E4669CD"/>
    <w:rsid w:val="7E4814AE"/>
    <w:rsid w:val="7E482438"/>
    <w:rsid w:val="7E665422"/>
    <w:rsid w:val="7E740598"/>
    <w:rsid w:val="7E7B0B28"/>
    <w:rsid w:val="7E7E47BC"/>
    <w:rsid w:val="7E9A6498"/>
    <w:rsid w:val="7EA8362A"/>
    <w:rsid w:val="7EAE4A89"/>
    <w:rsid w:val="7EBB39C0"/>
    <w:rsid w:val="7EC37C9C"/>
    <w:rsid w:val="7EC5549F"/>
    <w:rsid w:val="7EC57793"/>
    <w:rsid w:val="7EC71469"/>
    <w:rsid w:val="7ECC688A"/>
    <w:rsid w:val="7EDB2E5B"/>
    <w:rsid w:val="7EDD24C3"/>
    <w:rsid w:val="7EED5635"/>
    <w:rsid w:val="7EF232DF"/>
    <w:rsid w:val="7F1224C7"/>
    <w:rsid w:val="7F2350C1"/>
    <w:rsid w:val="7F5D0C16"/>
    <w:rsid w:val="7F774B5D"/>
    <w:rsid w:val="7F8652D2"/>
    <w:rsid w:val="7F8A73A7"/>
    <w:rsid w:val="7F9628D9"/>
    <w:rsid w:val="7F987E6F"/>
    <w:rsid w:val="7FB84441"/>
    <w:rsid w:val="7FBA3AF1"/>
    <w:rsid w:val="7FBC0D18"/>
    <w:rsid w:val="7FBE4DC9"/>
    <w:rsid w:val="7FC0225B"/>
    <w:rsid w:val="7FCB2C19"/>
    <w:rsid w:val="7FCF3F77"/>
    <w:rsid w:val="7FD0349B"/>
    <w:rsid w:val="7FEF20D7"/>
    <w:rsid w:val="7FF3582B"/>
    <w:rsid w:val="7FF45566"/>
    <w:rsid w:val="7FF61C17"/>
    <w:rsid w:val="7FF97EFA"/>
    <w:rsid w:val="DAEFEFC6"/>
    <w:rsid w:val="F7982DE5"/>
    <w:rsid w:val="FFADAF66"/>
    <w:rsid w:val="FFBED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文鼎粗黑"/>
    </w:rPr>
  </w:style>
  <w:style w:type="paragraph" w:styleId="3">
    <w:name w:val="heading 2"/>
    <w:basedOn w:val="1"/>
    <w:next w:val="1"/>
    <w:link w:val="218"/>
    <w:autoRedefine/>
    <w:qFormat/>
    <w:uiPriority w:val="0"/>
    <w:pPr>
      <w:keepNext/>
      <w:keepLines/>
      <w:spacing w:before="260" w:after="260" w:line="413" w:lineRule="auto"/>
      <w:outlineLvl w:val="1"/>
    </w:pPr>
    <w:rPr>
      <w:rFonts w:ascii="Arial Narrow" w:hAnsi="Arial Narrow" w:eastAsia="昆仑楷体"/>
      <w:b/>
      <w:sz w:val="32"/>
    </w:rPr>
  </w:style>
  <w:style w:type="paragraph" w:styleId="4">
    <w:name w:val="heading 3"/>
    <w:basedOn w:val="1"/>
    <w:next w:val="1"/>
    <w:link w:val="219"/>
    <w:qFormat/>
    <w:uiPriority w:val="0"/>
    <w:pPr>
      <w:keepNext/>
      <w:keepLines/>
      <w:spacing w:before="260" w:after="260" w:line="413" w:lineRule="auto"/>
      <w:outlineLvl w:val="2"/>
    </w:pPr>
    <w:rPr>
      <w:rFonts w:eastAsia="文鼎粗黑"/>
      <w:b/>
      <w:sz w:val="32"/>
    </w:rPr>
  </w:style>
  <w:style w:type="paragraph" w:styleId="5">
    <w:name w:val="heading 4"/>
    <w:basedOn w:val="1"/>
    <w:next w:val="1"/>
    <w:link w:val="220"/>
    <w:autoRedefine/>
    <w:qFormat/>
    <w:uiPriority w:val="0"/>
    <w:pPr>
      <w:keepNext/>
      <w:keepLines/>
      <w:spacing w:before="280" w:after="290" w:line="372" w:lineRule="auto"/>
      <w:outlineLvl w:val="3"/>
    </w:pPr>
    <w:rPr>
      <w:rFonts w:ascii="Arial Narrow" w:hAnsi="Arial Narrow" w:eastAsia="昆仑楷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Narrow" w:hAnsi="Arial Narrow" w:eastAsia="昆仑楷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Narrow" w:hAnsi="Arial Narrow" w:eastAsia="昆仑楷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Narrow" w:hAnsi="Arial Narrow" w:eastAsia="昆仑楷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Narrow" w:hAnsi="Arial Narrow" w:eastAsia="昆仑楷体"/>
      <w:b/>
      <w:sz w:val="24"/>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autoRedefine/>
    <w:qFormat/>
    <w:uiPriority w:val="0"/>
    <w:pPr>
      <w:tabs>
        <w:tab w:val="left" w:pos="1200"/>
      </w:tabs>
      <w:spacing w:line="360" w:lineRule="auto"/>
      <w:ind w:left="420" w:leftChars="200" w:firstLine="200" w:firstLineChars="200"/>
    </w:pPr>
    <w:rPr>
      <w:rFonts w:ascii="Calibri" w:hAnsi="Calibri"/>
      <w:kern w:val="0"/>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文鼎粗黑"/>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Arial"/>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Narrow" w:hAnsi="Arial Narrow"/>
      <w:sz w:val="24"/>
    </w:rPr>
  </w:style>
  <w:style w:type="paragraph" w:styleId="20">
    <w:name w:val="annotation text"/>
    <w:basedOn w:val="1"/>
    <w:link w:val="221"/>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w:basedOn w:val="1"/>
    <w:next w:val="1"/>
    <w:autoRedefine/>
    <w:qFormat/>
    <w:uiPriority w:val="0"/>
    <w:rPr>
      <w:rFonts w:ascii="Wingdings" w:eastAsia="Wingdings"/>
      <w:sz w:val="32"/>
    </w:rPr>
  </w:style>
  <w:style w:type="paragraph" w:styleId="24">
    <w:name w:val="Body Text Indent"/>
    <w:basedOn w:val="1"/>
    <w:link w:val="222"/>
    <w:qFormat/>
    <w:uiPriority w:val="0"/>
    <w:pPr>
      <w:spacing w:line="700" w:lineRule="exact"/>
      <w:ind w:left="960"/>
    </w:pPr>
    <w:rPr>
      <w:sz w:val="4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autoRedefine/>
    <w:qFormat/>
    <w:uiPriority w:val="0"/>
    <w:rPr>
      <w:rFonts w:ascii="文鼎粗黑" w:hAnsi="Cambria Math"/>
      <w:sz w:val="21"/>
    </w:rPr>
  </w:style>
  <w:style w:type="paragraph" w:styleId="32">
    <w:name w:val="toc 8"/>
    <w:basedOn w:val="1"/>
    <w:next w:val="1"/>
    <w:autoRedefine/>
    <w:qFormat/>
    <w:uiPriority w:val="0"/>
    <w:pPr>
      <w:ind w:left="2940" w:leftChars="1400"/>
    </w:pPr>
  </w:style>
  <w:style w:type="paragraph" w:styleId="33">
    <w:name w:val="Date"/>
    <w:basedOn w:val="1"/>
    <w:next w:val="1"/>
    <w:link w:val="223"/>
    <w:qFormat/>
    <w:uiPriority w:val="0"/>
  </w:style>
  <w:style w:type="paragraph" w:styleId="34">
    <w:name w:val="Body Text Indent 2"/>
    <w:basedOn w:val="1"/>
    <w:link w:val="224"/>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225"/>
    <w:qFormat/>
    <w:uiPriority w:val="99"/>
    <w:pPr>
      <w:tabs>
        <w:tab w:val="center" w:pos="4153"/>
        <w:tab w:val="right" w:pos="8306"/>
      </w:tabs>
      <w:snapToGrid w:val="0"/>
      <w:jc w:val="left"/>
    </w:pPr>
    <w:rPr>
      <w:sz w:val="18"/>
    </w:rPr>
  </w:style>
  <w:style w:type="paragraph" w:styleId="37">
    <w:name w:val="header"/>
    <w:basedOn w:val="1"/>
    <w:link w:val="226"/>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39"/>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39"/>
    <w:pPr>
      <w:ind w:left="1260" w:leftChars="600"/>
    </w:pPr>
  </w:style>
  <w:style w:type="paragraph" w:styleId="41">
    <w:name w:val="List"/>
    <w:basedOn w:val="1"/>
    <w:semiHidden/>
    <w:qFormat/>
    <w:uiPriority w:val="0"/>
    <w:pPr>
      <w:ind w:left="200" w:hanging="200" w:hangingChars="200"/>
    </w:pPr>
  </w:style>
  <w:style w:type="paragraph" w:styleId="42">
    <w:name w:val="footnote text"/>
    <w:basedOn w:val="1"/>
    <w:link w:val="227"/>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昆仑楷体" w:eastAsia="昆仑楷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文鼎粗黑" w:hAnsi="文鼎粗黑"/>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文鼎粗黑"/>
      <w:kern w:val="0"/>
      <w:sz w:val="21"/>
    </w:rPr>
  </w:style>
  <w:style w:type="paragraph" w:styleId="55">
    <w:name w:val="Title"/>
    <w:basedOn w:val="1"/>
    <w:autoRedefine/>
    <w:qFormat/>
    <w:uiPriority w:val="0"/>
    <w:pPr>
      <w:widowControl/>
      <w:spacing w:after="240" w:line="360" w:lineRule="auto"/>
      <w:jc w:val="center"/>
    </w:pPr>
    <w:rPr>
      <w:rFonts w:ascii="Arial Narrow" w:hAnsi="Arial Narrow"/>
      <w:b/>
      <w:smallCaps/>
      <w:kern w:val="28"/>
      <w:sz w:val="36"/>
      <w:lang w:eastAsia="en-US"/>
    </w:rPr>
  </w:style>
  <w:style w:type="paragraph" w:styleId="56">
    <w:name w:val="annotation subject"/>
    <w:basedOn w:val="20"/>
    <w:next w:val="20"/>
    <w:link w:val="228"/>
    <w:autoRedefine/>
    <w:qFormat/>
    <w:uiPriority w:val="0"/>
    <w:pPr>
      <w:adjustRightInd/>
      <w:spacing w:line="240" w:lineRule="auto"/>
      <w:textAlignment w:val="auto"/>
    </w:pPr>
  </w:style>
  <w:style w:type="paragraph" w:styleId="57">
    <w:name w:val="Body Text First Indent"/>
    <w:basedOn w:val="23"/>
    <w:autoRedefine/>
    <w:qFormat/>
    <w:uiPriority w:val="0"/>
    <w:pPr>
      <w:spacing w:line="360" w:lineRule="auto"/>
      <w:ind w:firstLine="420"/>
    </w:pPr>
    <w:rPr>
      <w:rFonts w:ascii="文鼎粗黑" w:hAnsi="文鼎粗黑"/>
      <w:sz w:val="24"/>
    </w:rPr>
  </w:style>
  <w:style w:type="paragraph" w:styleId="58">
    <w:name w:val="Body Text First Indent 2"/>
    <w:basedOn w:val="24"/>
    <w:link w:val="229"/>
    <w:autoRedefine/>
    <w:qFormat/>
    <w:uiPriority w:val="0"/>
    <w:pPr>
      <w:spacing w:after="120" w:line="240" w:lineRule="auto"/>
      <w:ind w:left="420" w:leftChars="200" w:firstLine="420" w:firstLineChars="200"/>
    </w:pPr>
  </w:style>
  <w:style w:type="table" w:styleId="60">
    <w:name w:val="Table Grid"/>
    <w:basedOn w:val="5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autoRedefine/>
    <w:qFormat/>
    <w:uiPriority w:val="0"/>
    <w:rPr>
      <w:b/>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首行缩进"/>
    <w:basedOn w:val="1"/>
    <w:autoRedefine/>
    <w:qFormat/>
    <w:uiPriority w:val="0"/>
    <w:pPr>
      <w:numPr>
        <w:ilvl w:val="0"/>
        <w:numId w:val="4"/>
      </w:numPr>
      <w:spacing w:line="360" w:lineRule="auto"/>
    </w:pPr>
    <w:rPr>
      <w:rFonts w:eastAsia="Wingdings"/>
    </w:rPr>
  </w:style>
  <w:style w:type="paragraph" w:customStyle="1" w:styleId="70">
    <w:name w:val="Table Text"/>
    <w:link w:val="236"/>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71">
    <w:name w:val="文字"/>
    <w:basedOn w:val="1"/>
    <w:link w:val="253"/>
    <w:autoRedefine/>
    <w:qFormat/>
    <w:uiPriority w:val="0"/>
    <w:pPr>
      <w:tabs>
        <w:tab w:val="left" w:pos="8520"/>
      </w:tabs>
      <w:spacing w:line="312" w:lineRule="auto"/>
      <w:ind w:right="-210" w:firstLine="556"/>
    </w:pPr>
    <w:rPr>
      <w:rFonts w:ascii="文鼎粗黑"/>
    </w:rPr>
  </w:style>
  <w:style w:type="paragraph" w:customStyle="1" w:styleId="72">
    <w:name w:val="Table Text Char Char Char"/>
    <w:link w:val="257"/>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7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74">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75">
    <w:name w:val="Char Char Char1 Char Char Char Char Char Char Char Char Char Char Char Char Char"/>
    <w:basedOn w:val="1"/>
    <w:autoRedefine/>
    <w:qFormat/>
    <w:uiPriority w:val="0"/>
    <w:pPr>
      <w:widowControl/>
      <w:spacing w:after="160" w:line="240" w:lineRule="exact"/>
      <w:jc w:val="left"/>
    </w:pPr>
    <w:rPr>
      <w:rFonts w:ascii="@方正小标宋_GBK" w:hAnsi="@方正小标宋_GBK"/>
      <w:kern w:val="0"/>
      <w:sz w:val="18"/>
      <w:lang w:eastAsia="en-US"/>
    </w:rPr>
  </w:style>
  <w:style w:type="paragraph" w:customStyle="1" w:styleId="76">
    <w:name w:val="Char Char Char Char Char Char Char Char Char Char Char Char Char Char Char Char"/>
    <w:basedOn w:val="1"/>
    <w:autoRedefine/>
    <w:qFormat/>
    <w:uiPriority w:val="0"/>
    <w:pPr>
      <w:tabs>
        <w:tab w:val="left" w:pos="360"/>
      </w:tabs>
    </w:pPr>
    <w:rPr>
      <w:sz w:val="24"/>
    </w:rPr>
  </w:style>
  <w:style w:type="paragraph" w:customStyle="1" w:styleId="77">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文鼎粗黑" w:hAnsi="文鼎粗黑"/>
      <w:color w:val="000000"/>
      <w:kern w:val="0"/>
      <w:sz w:val="24"/>
    </w:rPr>
  </w:style>
  <w:style w:type="paragraph" w:customStyle="1" w:styleId="7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79">
    <w:name w:val="Table Text Char Char"/>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80">
    <w:name w:val="标准正文"/>
    <w:basedOn w:val="81"/>
    <w:autoRedefine/>
    <w:qFormat/>
    <w:uiPriority w:val="0"/>
    <w:pPr>
      <w:spacing w:before="60" w:after="60" w:line="360" w:lineRule="auto"/>
      <w:ind w:left="0" w:firstLine="482"/>
    </w:pPr>
    <w:rPr>
      <w:rFonts w:ascii="Arial Narrow" w:hAnsi="Arial Narrow"/>
      <w:sz w:val="24"/>
    </w:rPr>
  </w:style>
  <w:style w:type="paragraph" w:customStyle="1" w:styleId="81">
    <w:name w:val="Body Text Indent1"/>
    <w:basedOn w:val="1"/>
    <w:autoRedefine/>
    <w:qFormat/>
    <w:uiPriority w:val="0"/>
    <w:pPr>
      <w:spacing w:line="700" w:lineRule="exact"/>
      <w:ind w:left="960"/>
    </w:pPr>
    <w:rPr>
      <w:sz w:val="44"/>
    </w:rPr>
  </w:style>
  <w:style w:type="paragraph" w:customStyle="1" w:styleId="82">
    <w:name w:val="Table Contents"/>
    <w:basedOn w:val="23"/>
    <w:autoRedefine/>
    <w:qFormat/>
    <w:uiPriority w:val="0"/>
    <w:pPr>
      <w:suppressAutoHyphens/>
      <w:jc w:val="left"/>
    </w:pPr>
    <w:rPr>
      <w:rFonts w:ascii="Tahoma" w:eastAsia="Tahoma"/>
      <w:kern w:val="0"/>
      <w:sz w:val="24"/>
    </w:rPr>
  </w:style>
  <w:style w:type="paragraph" w:customStyle="1" w:styleId="83">
    <w:name w:val="样式 首行缩进:  0.74 厘米"/>
    <w:basedOn w:val="1"/>
    <w:autoRedefine/>
    <w:qFormat/>
    <w:uiPriority w:val="0"/>
    <w:pPr>
      <w:spacing w:line="360" w:lineRule="auto"/>
      <w:ind w:firstLine="420"/>
    </w:pPr>
    <w:rPr>
      <w:sz w:val="24"/>
    </w:rPr>
  </w:style>
  <w:style w:type="paragraph" w:customStyle="1" w:styleId="8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文鼎粗黑" w:hAnsi="文鼎粗黑"/>
      <w:kern w:val="0"/>
      <w:sz w:val="21"/>
    </w:rPr>
  </w:style>
  <w:style w:type="paragraph" w:customStyle="1" w:styleId="85">
    <w:name w:val="样式 样式 首行缩进:  2 字符 + 首行缩进:  2 字符"/>
    <w:basedOn w:val="1"/>
    <w:autoRedefine/>
    <w:qFormat/>
    <w:uiPriority w:val="0"/>
    <w:pPr>
      <w:numPr>
        <w:ilvl w:val="0"/>
        <w:numId w:val="6"/>
      </w:numPr>
      <w:tabs>
        <w:tab w:val="clear" w:pos="1230"/>
      </w:tabs>
      <w:spacing w:line="360" w:lineRule="auto"/>
      <w:ind w:firstLine="480" w:firstLineChars="200"/>
    </w:pPr>
    <w:rPr>
      <w:sz w:val="24"/>
    </w:rPr>
  </w:style>
  <w:style w:type="paragraph" w:customStyle="1" w:styleId="86">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87">
    <w:name w:val="List Paragraph1"/>
    <w:basedOn w:val="1"/>
    <w:autoRedefine/>
    <w:qFormat/>
    <w:uiPriority w:val="0"/>
    <w:pPr>
      <w:ind w:firstLine="420" w:firstLineChars="200"/>
    </w:pPr>
  </w:style>
  <w:style w:type="paragraph" w:customStyle="1" w:styleId="88">
    <w:name w:val="表格内文字"/>
    <w:basedOn w:val="31"/>
    <w:autoRedefine/>
    <w:qFormat/>
    <w:uiPriority w:val="0"/>
    <w:pPr>
      <w:adjustRightInd w:val="0"/>
    </w:pPr>
    <w:rPr>
      <w:color w:val="000000"/>
      <w:lang w:val="en-GB"/>
    </w:rPr>
  </w:style>
  <w:style w:type="paragraph" w:customStyle="1" w:styleId="89">
    <w:name w:val="样式1xz"/>
    <w:basedOn w:val="1"/>
    <w:autoRedefine/>
    <w:qFormat/>
    <w:uiPriority w:val="0"/>
    <w:pPr>
      <w:tabs>
        <w:tab w:val="left" w:pos="1050"/>
        <w:tab w:val="right" w:leader="dot" w:pos="8296"/>
      </w:tabs>
    </w:pPr>
    <w:rPr>
      <w:caps/>
      <w:spacing w:val="20"/>
      <w:sz w:val="24"/>
    </w:rPr>
  </w:style>
  <w:style w:type="paragraph" w:customStyle="1" w:styleId="90">
    <w:name w:val="二级条标题"/>
    <w:basedOn w:val="91"/>
    <w:next w:val="93"/>
    <w:autoRedefine/>
    <w:qFormat/>
    <w:uiPriority w:val="0"/>
    <w:pPr>
      <w:ind w:left="840"/>
      <w:outlineLvl w:val="3"/>
    </w:pPr>
  </w:style>
  <w:style w:type="paragraph" w:customStyle="1" w:styleId="91">
    <w:name w:val="一级条标题"/>
    <w:basedOn w:val="92"/>
    <w:next w:val="93"/>
    <w:autoRedefine/>
    <w:qFormat/>
    <w:uiPriority w:val="0"/>
    <w:pPr>
      <w:numPr>
        <w:numId w:val="0"/>
      </w:numPr>
      <w:spacing w:beforeLines="0" w:afterLines="0"/>
      <w:ind w:left="525"/>
      <w:outlineLvl w:val="2"/>
    </w:pPr>
    <w:rPr>
      <w:sz w:val="21"/>
    </w:rPr>
  </w:style>
  <w:style w:type="paragraph" w:customStyle="1" w:styleId="92">
    <w:name w:val="章标题"/>
    <w:next w:val="1"/>
    <w:autoRedefine/>
    <w:qFormat/>
    <w:uiPriority w:val="0"/>
    <w:pPr>
      <w:numPr>
        <w:ilvl w:val="1"/>
        <w:numId w:val="7"/>
      </w:numPr>
      <w:spacing w:beforeLines="50" w:afterLines="50"/>
      <w:ind w:left="0"/>
      <w:jc w:val="both"/>
      <w:outlineLvl w:val="1"/>
    </w:pPr>
    <w:rPr>
      <w:rFonts w:ascii="昆仑楷体" w:hAnsi="Times New Roman" w:eastAsia="昆仑楷体" w:cs="Times New Roman"/>
      <w:sz w:val="24"/>
      <w:lang w:val="en-US" w:eastAsia="zh-CN" w:bidi="ar-SA"/>
    </w:rPr>
  </w:style>
  <w:style w:type="paragraph" w:customStyle="1" w:styleId="93">
    <w:name w:val="段"/>
    <w:autoRedefine/>
    <w:qFormat/>
    <w:uiPriority w:val="0"/>
    <w:pPr>
      <w:autoSpaceDE w:val="0"/>
      <w:autoSpaceDN w:val="0"/>
      <w:ind w:firstLine="200" w:firstLineChars="200"/>
      <w:jc w:val="both"/>
    </w:pPr>
    <w:rPr>
      <w:rFonts w:ascii="文鼎粗黑" w:hAnsi="Times New Roman" w:eastAsia="宋体" w:cs="Times New Roman"/>
      <w:sz w:val="21"/>
      <w:lang w:val="en-US" w:eastAsia="zh-CN" w:bidi="ar-SA"/>
    </w:rPr>
  </w:style>
  <w:style w:type="paragraph" w:customStyle="1" w:styleId="94">
    <w:name w:val="content"/>
    <w:basedOn w:val="1"/>
    <w:autoRedefine/>
    <w:qFormat/>
    <w:uiPriority w:val="0"/>
    <w:pPr>
      <w:widowControl/>
      <w:spacing w:before="100" w:beforeAutospacing="1" w:after="100" w:afterAutospacing="1" w:line="280" w:lineRule="atLeast"/>
      <w:ind w:firstLine="375"/>
      <w:jc w:val="left"/>
    </w:pPr>
    <w:rPr>
      <w:rFonts w:ascii="文鼎粗黑" w:hAnsi="文鼎粗黑"/>
      <w:color w:val="000000"/>
      <w:kern w:val="0"/>
      <w:sz w:val="18"/>
    </w:rPr>
  </w:style>
  <w:style w:type="paragraph" w:customStyle="1" w:styleId="95">
    <w:name w:val="Char Char Char Char"/>
    <w:basedOn w:val="1"/>
    <w:autoRedefine/>
    <w:qFormat/>
    <w:uiPriority w:val="0"/>
    <w:pPr>
      <w:pageBreakBefore/>
      <w:widowControl/>
      <w:spacing w:after="160" w:line="240" w:lineRule="exact"/>
      <w:jc w:val="left"/>
    </w:pPr>
    <w:rPr>
      <w:rFonts w:ascii="@方正小标宋_GBK" w:hAnsi="@方正小标宋_GBK"/>
      <w:kern w:val="0"/>
      <w:sz w:val="20"/>
      <w:lang w:eastAsia="en-US"/>
    </w:rPr>
  </w:style>
  <w:style w:type="paragraph" w:customStyle="1" w:styleId="96">
    <w:name w:val="af"/>
    <w:basedOn w:val="1"/>
    <w:autoRedefine/>
    <w:qFormat/>
    <w:uiPriority w:val="0"/>
    <w:pPr>
      <w:widowControl/>
      <w:spacing w:line="300" w:lineRule="atLeast"/>
      <w:jc w:val="left"/>
    </w:pPr>
    <w:rPr>
      <w:rFonts w:ascii="文鼎粗黑" w:hAnsi="文鼎粗黑"/>
      <w:kern w:val="0"/>
      <w:sz w:val="18"/>
    </w:rPr>
  </w:style>
  <w:style w:type="paragraph" w:customStyle="1" w:styleId="97">
    <w:name w:val="CSS1级正文 Char"/>
    <w:basedOn w:val="23"/>
    <w:autoRedefine/>
    <w:qFormat/>
    <w:uiPriority w:val="0"/>
    <w:pPr>
      <w:adjustRightInd w:val="0"/>
      <w:snapToGrid w:val="0"/>
      <w:spacing w:line="360" w:lineRule="auto"/>
      <w:ind w:firstLine="480"/>
    </w:pPr>
    <w:rPr>
      <w:rFonts w:ascii="Tahoma" w:eastAsia="文鼎粗黑"/>
      <w:sz w:val="24"/>
    </w:rPr>
  </w:style>
  <w:style w:type="paragraph" w:customStyle="1" w:styleId="98">
    <w:name w:val="Default"/>
    <w:autoRedefine/>
    <w:qFormat/>
    <w:uiPriority w:val="0"/>
    <w:pPr>
      <w:widowControl w:val="0"/>
      <w:autoSpaceDE w:val="0"/>
      <w:autoSpaceDN w:val="0"/>
      <w:adjustRightInd w:val="0"/>
    </w:pPr>
    <w:rPr>
      <w:rFonts w:ascii="文鼎粗黑" w:hAnsi="Times New Roman" w:eastAsia="宋体" w:cs="Times New Roman"/>
      <w:color w:val="000000"/>
      <w:sz w:val="24"/>
      <w:lang w:val="en-US" w:eastAsia="zh-CN" w:bidi="ar-SA"/>
    </w:rPr>
  </w:style>
  <w:style w:type="paragraph" w:customStyle="1" w:styleId="99">
    <w:name w:val="标书正文:  0.74 厘米"/>
    <w:basedOn w:val="1"/>
    <w:autoRedefine/>
    <w:qFormat/>
    <w:uiPriority w:val="0"/>
    <w:pPr>
      <w:snapToGrid w:val="0"/>
      <w:spacing w:line="360" w:lineRule="auto"/>
      <w:ind w:firstLine="420"/>
    </w:pPr>
    <w:rPr>
      <w:sz w:val="24"/>
    </w:rPr>
  </w:style>
  <w:style w:type="paragraph" w:customStyle="1" w:styleId="100">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文鼎粗黑" w:hAnsi="文鼎粗黑" w:eastAsia="文鼎粗黑"/>
      <w:spacing w:val="6"/>
      <w:sz w:val="28"/>
      <w:u w:val="single"/>
    </w:rPr>
  </w:style>
  <w:style w:type="paragraph" w:customStyle="1" w:styleId="101">
    <w:name w:val="简单回函地址"/>
    <w:basedOn w:val="1"/>
    <w:autoRedefine/>
    <w:qFormat/>
    <w:uiPriority w:val="0"/>
    <w:pPr>
      <w:adjustRightInd w:val="0"/>
      <w:snapToGrid w:val="0"/>
      <w:spacing w:line="360" w:lineRule="auto"/>
    </w:pPr>
    <w:rPr>
      <w:sz w:val="24"/>
    </w:rPr>
  </w:style>
  <w:style w:type="paragraph" w:customStyle="1" w:styleId="10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3">
    <w:name w:val="样式 宋体 五号 行距: 单倍行距"/>
    <w:basedOn w:val="1"/>
    <w:autoRedefine/>
    <w:qFormat/>
    <w:uiPriority w:val="0"/>
    <w:pPr>
      <w:adjustRightInd w:val="0"/>
      <w:jc w:val="left"/>
    </w:pPr>
    <w:rPr>
      <w:rFonts w:ascii="文鼎粗黑" w:hAnsi="文鼎粗黑"/>
      <w:kern w:val="0"/>
      <w:sz w:val="21"/>
    </w:rPr>
  </w:style>
  <w:style w:type="paragraph" w:customStyle="1" w:styleId="104">
    <w:name w:val="文章正文"/>
    <w:basedOn w:val="1"/>
    <w:autoRedefine/>
    <w:qFormat/>
    <w:uiPriority w:val="0"/>
    <w:pPr>
      <w:ind w:firstLine="560" w:firstLineChars="200"/>
    </w:pPr>
    <w:rPr>
      <w:rFonts w:ascii="Wingdings" w:hAnsi="文鼎粗黑" w:eastAsia="Wingdings"/>
      <w:color w:val="000000"/>
    </w:rPr>
  </w:style>
  <w:style w:type="paragraph" w:customStyle="1" w:styleId="105">
    <w:name w:val="标题3——2"/>
    <w:basedOn w:val="4"/>
    <w:next w:val="57"/>
    <w:autoRedefine/>
    <w:qFormat/>
    <w:uiPriority w:val="0"/>
    <w:pPr>
      <w:tabs>
        <w:tab w:val="left" w:pos="1280"/>
        <w:tab w:val="right" w:leader="dot" w:pos="8777"/>
      </w:tabs>
      <w:spacing w:beforeLines="100" w:after="0" w:line="240" w:lineRule="auto"/>
      <w:ind w:left="851" w:hanging="851"/>
      <w:outlineLvl w:val="9"/>
    </w:pPr>
    <w:rPr>
      <w:rFonts w:ascii="昆仑楷体" w:hAnsi="文鼎粗黑" w:eastAsia="昆仑楷体"/>
      <w:sz w:val="30"/>
    </w:rPr>
  </w:style>
  <w:style w:type="paragraph" w:customStyle="1" w:styleId="106">
    <w:name w:val="附录3"/>
    <w:basedOn w:val="1"/>
    <w:next w:val="1"/>
    <w:autoRedefine/>
    <w:qFormat/>
    <w:uiPriority w:val="0"/>
    <w:pPr>
      <w:tabs>
        <w:tab w:val="left" w:pos="851"/>
      </w:tabs>
      <w:ind w:left="425" w:hanging="425"/>
      <w:outlineLvl w:val="2"/>
    </w:pPr>
    <w:rPr>
      <w:rFonts w:eastAsia="昆仑楷体"/>
      <w:b/>
      <w:sz w:val="32"/>
    </w:rPr>
  </w:style>
  <w:style w:type="paragraph" w:customStyle="1" w:styleId="107">
    <w:name w:val="Table Heading"/>
    <w:autoRedefine/>
    <w:qFormat/>
    <w:uiPriority w:val="0"/>
    <w:pPr>
      <w:keepNext/>
      <w:snapToGrid w:val="0"/>
      <w:spacing w:before="80" w:after="80"/>
      <w:jc w:val="center"/>
    </w:pPr>
    <w:rPr>
      <w:rFonts w:ascii="Arial Narrow" w:hAnsi="Arial Narrow" w:eastAsia="昆仑楷体" w:cs="Times New Roman"/>
      <w:sz w:val="18"/>
      <w:lang w:val="en-US" w:eastAsia="zh-CN" w:bidi="ar-SA"/>
    </w:rPr>
  </w:style>
  <w:style w:type="paragraph" w:customStyle="1" w:styleId="108">
    <w:name w:val="编号正文"/>
    <w:basedOn w:val="109"/>
    <w:autoRedefine/>
    <w:qFormat/>
    <w:uiPriority w:val="0"/>
    <w:pPr>
      <w:snapToGrid/>
      <w:spacing w:line="360" w:lineRule="auto"/>
      <w:ind w:left="1407" w:hanging="1047"/>
      <w:jc w:val="left"/>
    </w:pPr>
    <w:rPr>
      <w:rFonts w:eastAsia="Wingdings"/>
    </w:rPr>
  </w:style>
  <w:style w:type="paragraph" w:customStyle="1" w:styleId="109">
    <w:name w:val="文档正文"/>
    <w:basedOn w:val="1"/>
    <w:autoRedefine/>
    <w:qFormat/>
    <w:uiPriority w:val="0"/>
    <w:pPr>
      <w:adjustRightInd w:val="0"/>
      <w:snapToGrid w:val="0"/>
      <w:spacing w:line="440" w:lineRule="exact"/>
      <w:ind w:firstLine="567"/>
      <w:textAlignment w:val="baseline"/>
    </w:pPr>
    <w:rPr>
      <w:rFonts w:ascii="仿宋_GB2312" w:hAnsi="仿宋_GB2312"/>
      <w:kern w:val="0"/>
      <w:sz w:val="24"/>
    </w:rPr>
  </w:style>
  <w:style w:type="paragraph" w:customStyle="1" w:styleId="110">
    <w:name w:val="司法正文"/>
    <w:autoRedefine/>
    <w:qFormat/>
    <w:uiPriority w:val="0"/>
    <w:pPr>
      <w:widowControl w:val="0"/>
      <w:ind w:firstLine="200" w:firstLineChars="200"/>
      <w:jc w:val="both"/>
    </w:pPr>
    <w:rPr>
      <w:rFonts w:ascii="Times New Roman" w:hAnsi="Times New Roman" w:eastAsia="Wingdings" w:cs="Times New Roman"/>
      <w:sz w:val="32"/>
      <w:lang w:val="en-US" w:eastAsia="zh-CN" w:bidi="ar-SA"/>
    </w:rPr>
  </w:style>
  <w:style w:type="paragraph" w:customStyle="1" w:styleId="111">
    <w:name w:val="附录2"/>
    <w:basedOn w:val="1"/>
    <w:next w:val="1"/>
    <w:autoRedefine/>
    <w:qFormat/>
    <w:uiPriority w:val="0"/>
    <w:pPr>
      <w:tabs>
        <w:tab w:val="left" w:pos="420"/>
        <w:tab w:val="left" w:pos="624"/>
      </w:tabs>
      <w:ind w:left="420" w:hanging="420"/>
      <w:outlineLvl w:val="1"/>
    </w:pPr>
    <w:rPr>
      <w:rFonts w:ascii="昆仑楷体" w:hAnsi="昆仑楷体" w:eastAsia="昆仑楷体"/>
      <w:b/>
      <w:sz w:val="32"/>
    </w:rPr>
  </w:style>
  <w:style w:type="paragraph" w:customStyle="1" w:styleId="11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3">
    <w:name w:val="标题5"/>
    <w:basedOn w:val="1"/>
    <w:autoRedefine/>
    <w:qFormat/>
    <w:uiPriority w:val="0"/>
    <w:pPr>
      <w:tabs>
        <w:tab w:val="left" w:pos="0"/>
      </w:tabs>
      <w:autoSpaceDE w:val="0"/>
      <w:autoSpaceDN w:val="0"/>
      <w:adjustRightInd w:val="0"/>
      <w:snapToGrid w:val="0"/>
      <w:spacing w:line="320" w:lineRule="atLeast"/>
    </w:pPr>
    <w:rPr>
      <w:rFonts w:ascii="文鼎粗黑"/>
      <w:kern w:val="0"/>
      <w:sz w:val="21"/>
    </w:rPr>
  </w:style>
  <w:style w:type="paragraph" w:customStyle="1" w:styleId="114">
    <w:name w:val="表格文本"/>
    <w:autoRedefine/>
    <w:qFormat/>
    <w:uiPriority w:val="0"/>
    <w:pPr>
      <w:tabs>
        <w:tab w:val="decimal" w:pos="0"/>
      </w:tabs>
    </w:pPr>
    <w:rPr>
      <w:rFonts w:ascii="Arial Narrow" w:hAnsi="Arial Narrow" w:eastAsia="宋体" w:cs="Times New Roman"/>
      <w:sz w:val="21"/>
      <w:lang w:val="en-US" w:eastAsia="zh-CN" w:bidi="ar-SA"/>
    </w:rPr>
  </w:style>
  <w:style w:type="paragraph" w:customStyle="1" w:styleId="115">
    <w:name w:val="tabletext"/>
    <w:basedOn w:val="1"/>
    <w:autoRedefine/>
    <w:qFormat/>
    <w:uiPriority w:val="0"/>
    <w:pPr>
      <w:widowControl/>
      <w:spacing w:before="100" w:beforeAutospacing="1" w:after="100" w:afterAutospacing="1"/>
      <w:jc w:val="left"/>
    </w:pPr>
    <w:rPr>
      <w:rFonts w:ascii="文鼎粗黑" w:hAnsi="文鼎粗黑" w:cs="文鼎粗黑"/>
      <w:kern w:val="0"/>
      <w:sz w:val="24"/>
      <w:szCs w:val="24"/>
    </w:rPr>
  </w:style>
  <w:style w:type="paragraph" w:customStyle="1" w:styleId="11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文鼎粗黑" w:hAnsi="文鼎粗黑"/>
      <w:kern w:val="0"/>
      <w:sz w:val="24"/>
    </w:rPr>
  </w:style>
  <w:style w:type="paragraph" w:styleId="117">
    <w:name w:val="List Paragraph"/>
    <w:basedOn w:val="1"/>
    <w:autoRedefine/>
    <w:qFormat/>
    <w:uiPriority w:val="34"/>
    <w:pPr>
      <w:ind w:firstLine="420"/>
    </w:pPr>
  </w:style>
  <w:style w:type="paragraph" w:customStyle="1" w:styleId="118">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19">
    <w:name w:val="style1"/>
    <w:basedOn w:val="1"/>
    <w:autoRedefine/>
    <w:qFormat/>
    <w:uiPriority w:val="0"/>
    <w:pPr>
      <w:widowControl/>
      <w:spacing w:before="100" w:beforeAutospacing="1" w:after="100" w:afterAutospacing="1"/>
      <w:jc w:val="left"/>
    </w:pPr>
    <w:rPr>
      <w:rFonts w:ascii="文鼎粗黑" w:hAnsi="文鼎粗黑"/>
      <w:kern w:val="0"/>
      <w:sz w:val="21"/>
    </w:rPr>
  </w:style>
  <w:style w:type="paragraph" w:customStyle="1" w:styleId="120">
    <w:name w:val="Char Char Char Char Char Char Char"/>
    <w:basedOn w:val="18"/>
    <w:autoRedefine/>
    <w:qFormat/>
    <w:uiPriority w:val="0"/>
    <w:rPr>
      <w:rFonts w:ascii="文鼎粗黑" w:hAnsi="_x000B__x000C_"/>
    </w:rPr>
  </w:style>
  <w:style w:type="paragraph" w:customStyle="1" w:styleId="121">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22">
    <w:name w:val="正文1"/>
    <w:basedOn w:val="1"/>
    <w:autoRedefine/>
    <w:qFormat/>
    <w:uiPriority w:val="0"/>
    <w:pPr>
      <w:spacing w:line="300" w:lineRule="auto"/>
      <w:ind w:firstLine="200" w:firstLineChars="200"/>
    </w:pPr>
    <w:rPr>
      <w:sz w:val="24"/>
    </w:rPr>
  </w:style>
  <w:style w:type="paragraph" w:customStyle="1" w:styleId="123">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文鼎粗黑" w:hAnsi="文鼎粗黑"/>
      <w:kern w:val="0"/>
      <w:sz w:val="24"/>
    </w:rPr>
  </w:style>
  <w:style w:type="paragraph" w:customStyle="1" w:styleId="124">
    <w:name w:val="Char Char1"/>
    <w:basedOn w:val="1"/>
    <w:autoRedefine/>
    <w:qFormat/>
    <w:uiPriority w:val="0"/>
    <w:pPr>
      <w:widowControl/>
      <w:spacing w:after="160" w:line="240" w:lineRule="exact"/>
      <w:jc w:val="left"/>
    </w:pPr>
    <w:rPr>
      <w:rFonts w:ascii="@方正小标宋_GBK" w:hAnsi="@方正小标宋_GBK"/>
      <w:kern w:val="0"/>
      <w:sz w:val="20"/>
      <w:lang w:eastAsia="en-US"/>
    </w:rPr>
  </w:style>
  <w:style w:type="paragraph" w:customStyle="1" w:styleId="125">
    <w:name w:val="表文字"/>
    <w:autoRedefine/>
    <w:qFormat/>
    <w:uiPriority w:val="0"/>
    <w:rPr>
      <w:rFonts w:ascii="文鼎粗黑" w:hAnsi="Times New Roman" w:eastAsia="宋体" w:cs="Times New Roman"/>
      <w:kern w:val="2"/>
      <w:lang w:val="en-US" w:eastAsia="zh-CN" w:bidi="ar-SA"/>
    </w:rPr>
  </w:style>
  <w:style w:type="paragraph" w:customStyle="1" w:styleId="12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2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文鼎粗黑"/>
      <w:kern w:val="0"/>
      <w:sz w:val="18"/>
    </w:rPr>
  </w:style>
  <w:style w:type="paragraph" w:customStyle="1" w:styleId="128">
    <w:name w:val="Char1"/>
    <w:basedOn w:val="1"/>
    <w:autoRedefine/>
    <w:qFormat/>
    <w:uiPriority w:val="0"/>
    <w:rPr>
      <w:sz w:val="21"/>
    </w:rPr>
  </w:style>
  <w:style w:type="paragraph" w:customStyle="1" w:styleId="129">
    <w:name w:val="Char Char1 Char"/>
    <w:basedOn w:val="1"/>
    <w:autoRedefine/>
    <w:qFormat/>
    <w:uiPriority w:val="0"/>
    <w:rPr>
      <w:rFonts w:ascii="_x000B__x000C_" w:hAnsi="_x000B__x000C_"/>
      <w:sz w:val="24"/>
      <w:szCs w:val="24"/>
    </w:rPr>
  </w:style>
  <w:style w:type="paragraph" w:customStyle="1" w:styleId="130">
    <w:name w:val="小标题 1"/>
    <w:basedOn w:val="1"/>
    <w:autoRedefine/>
    <w:qFormat/>
    <w:uiPriority w:val="0"/>
    <w:pPr>
      <w:autoSpaceDE w:val="0"/>
      <w:autoSpaceDN w:val="0"/>
      <w:adjustRightInd w:val="0"/>
      <w:spacing w:line="360" w:lineRule="atLeast"/>
    </w:pPr>
    <w:rPr>
      <w:rFonts w:ascii="黑体" w:eastAsia="黑体"/>
      <w:kern w:val="0"/>
      <w:sz w:val="22"/>
    </w:rPr>
  </w:style>
  <w:style w:type="paragraph" w:customStyle="1" w:styleId="131">
    <w:name w:val="IN Step"/>
    <w:basedOn w:val="1"/>
    <w:autoRedefine/>
    <w:qFormat/>
    <w:uiPriority w:val="0"/>
    <w:pPr>
      <w:keepLines/>
      <w:widowControl/>
      <w:tabs>
        <w:tab w:val="left" w:pos="1134"/>
      </w:tabs>
      <w:spacing w:before="80" w:after="80" w:line="300" w:lineRule="auto"/>
      <w:ind w:left="1134" w:hanging="907"/>
      <w:outlineLvl w:val="8"/>
    </w:pPr>
    <w:rPr>
      <w:rFonts w:ascii="Arial Narrow" w:hAnsi="Arial Narrow"/>
      <w:kern w:val="0"/>
      <w:sz w:val="21"/>
    </w:rPr>
  </w:style>
  <w:style w:type="paragraph" w:customStyle="1" w:styleId="132">
    <w:name w:val="Char Char Char Char Char Char1 Char"/>
    <w:basedOn w:val="1"/>
    <w:autoRedefine/>
    <w:qFormat/>
    <w:uiPriority w:val="0"/>
    <w:pPr>
      <w:widowControl/>
      <w:spacing w:after="160" w:line="240" w:lineRule="exact"/>
      <w:jc w:val="left"/>
    </w:pPr>
    <w:rPr>
      <w:rFonts w:ascii="@方正小标宋_GBK" w:hAnsi="@方正小标宋_GBK"/>
      <w:kern w:val="0"/>
      <w:sz w:val="21"/>
      <w:lang w:eastAsia="en-US"/>
    </w:rPr>
  </w:style>
  <w:style w:type="paragraph" w:customStyle="1" w:styleId="133">
    <w:name w:val="Char1 Char Char Char"/>
    <w:basedOn w:val="1"/>
    <w:autoRedefine/>
    <w:qFormat/>
    <w:uiPriority w:val="0"/>
    <w:rPr>
      <w:rFonts w:ascii="_x000B__x000C_" w:hAnsi="_x000B__x000C_"/>
      <w:sz w:val="24"/>
    </w:rPr>
  </w:style>
  <w:style w:type="paragraph" w:customStyle="1" w:styleId="134">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5">
    <w:name w:val="样式 标题 1 + 居中 段前: 6 磅 段后: 6 磅 行距: 1.5 倍行距"/>
    <w:basedOn w:val="2"/>
    <w:autoRedefine/>
    <w:qFormat/>
    <w:uiPriority w:val="0"/>
    <w:pPr>
      <w:keepLines/>
      <w:adjustRightInd w:val="0"/>
      <w:spacing w:before="120" w:after="120" w:line="360" w:lineRule="auto"/>
      <w:jc w:val="center"/>
    </w:pPr>
    <w:rPr>
      <w:rFonts w:ascii="Tahoma"/>
      <w:b/>
      <w:kern w:val="44"/>
      <w:sz w:val="32"/>
    </w:rPr>
  </w:style>
  <w:style w:type="paragraph" w:customStyle="1" w:styleId="136">
    <w:name w:val="正文文本 21"/>
    <w:basedOn w:val="1"/>
    <w:autoRedefine/>
    <w:qFormat/>
    <w:uiPriority w:val="0"/>
    <w:pPr>
      <w:adjustRightInd w:val="0"/>
      <w:spacing w:before="120" w:line="360" w:lineRule="auto"/>
      <w:ind w:firstLine="480"/>
      <w:textAlignment w:val="baseline"/>
    </w:pPr>
    <w:rPr>
      <w:sz w:val="24"/>
    </w:rPr>
  </w:style>
  <w:style w:type="paragraph" w:customStyle="1" w:styleId="137">
    <w:name w:val="普通正文"/>
    <w:basedOn w:val="1"/>
    <w:autoRedefine/>
    <w:qFormat/>
    <w:uiPriority w:val="0"/>
    <w:pPr>
      <w:adjustRightInd w:val="0"/>
      <w:spacing w:before="120" w:after="120" w:line="360" w:lineRule="auto"/>
      <w:ind w:firstLine="480"/>
      <w:jc w:val="left"/>
      <w:textAlignment w:val="baseline"/>
    </w:pPr>
    <w:rPr>
      <w:rFonts w:ascii="Arial Narrow" w:hAnsi="Arial Narrow"/>
      <w:kern w:val="0"/>
      <w:sz w:val="24"/>
    </w:rPr>
  </w:style>
  <w:style w:type="paragraph" w:customStyle="1" w:styleId="138">
    <w:name w:val="内容标题"/>
    <w:basedOn w:val="18"/>
    <w:autoRedefine/>
    <w:qFormat/>
    <w:uiPriority w:val="0"/>
    <w:rPr>
      <w:rFonts w:ascii="_x000B__x000C_" w:hAnsi="_x000B__x000C_"/>
      <w:sz w:val="24"/>
    </w:rPr>
  </w:style>
  <w:style w:type="paragraph" w:customStyle="1" w:styleId="139">
    <w:name w:val="没有缩进（为图形使用）"/>
    <w:basedOn w:val="1"/>
    <w:autoRedefine/>
    <w:qFormat/>
    <w:uiPriority w:val="0"/>
    <w:pPr>
      <w:spacing w:before="120" w:after="120" w:line="360" w:lineRule="auto"/>
    </w:pPr>
    <w:rPr>
      <w:sz w:val="24"/>
    </w:rPr>
  </w:style>
  <w:style w:type="paragraph" w:customStyle="1" w:styleId="140">
    <w:name w:val="Char2 Char Char Char Char Char Char"/>
    <w:basedOn w:val="1"/>
    <w:autoRedefine/>
    <w:qFormat/>
    <w:uiPriority w:val="0"/>
    <w:rPr>
      <w:rFonts w:ascii="Wingdings"/>
      <w:b/>
      <w:sz w:val="30"/>
    </w:rPr>
  </w:style>
  <w:style w:type="paragraph" w:customStyle="1" w:styleId="141">
    <w:name w:val="Char Char Char Char Char Char Char1"/>
    <w:basedOn w:val="1"/>
    <w:autoRedefine/>
    <w:qFormat/>
    <w:uiPriority w:val="0"/>
    <w:rPr>
      <w:rFonts w:ascii="_x000B__x000C_" w:hAnsi="_x000B__x000C_"/>
      <w:sz w:val="24"/>
    </w:rPr>
  </w:style>
  <w:style w:type="paragraph" w:customStyle="1" w:styleId="142">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文鼎粗黑" w:eastAsia="昆仑楷体"/>
      <w:b/>
      <w:kern w:val="44"/>
      <w:sz w:val="36"/>
    </w:rPr>
  </w:style>
  <w:style w:type="paragraph" w:customStyle="1" w:styleId="143">
    <w:name w:val="_Style 138"/>
    <w:autoRedefine/>
    <w:qFormat/>
    <w:uiPriority w:val="0"/>
    <w:rPr>
      <w:rFonts w:ascii="Times New Roman" w:hAnsi="Times New Roman" w:eastAsia="宋体" w:cs="Times New Roman"/>
      <w:kern w:val="2"/>
      <w:sz w:val="21"/>
      <w:lang w:val="en-US" w:eastAsia="zh-CN" w:bidi="ar-SA"/>
    </w:rPr>
  </w:style>
  <w:style w:type="paragraph" w:customStyle="1" w:styleId="144">
    <w:name w:val="Item Step"/>
    <w:autoRedefine/>
    <w:qFormat/>
    <w:uiPriority w:val="0"/>
    <w:pPr>
      <w:tabs>
        <w:tab w:val="left" w:pos="1644"/>
      </w:tabs>
      <w:ind w:left="1644" w:hanging="510"/>
      <w:outlineLvl w:val="4"/>
    </w:pPr>
    <w:rPr>
      <w:rFonts w:ascii="Arial Narrow" w:hAnsi="Arial Narrow" w:eastAsia="宋体" w:cs="Times New Roman"/>
      <w:sz w:val="21"/>
      <w:lang w:val="en-US" w:eastAsia="zh-CN" w:bidi="ar-SA"/>
    </w:rPr>
  </w:style>
  <w:style w:type="paragraph" w:customStyle="1" w:styleId="145">
    <w:name w:val="Title - Revision"/>
    <w:basedOn w:val="55"/>
    <w:autoRedefine/>
    <w:qFormat/>
    <w:uiPriority w:val="0"/>
    <w:pPr>
      <w:spacing w:before="720"/>
    </w:pPr>
  </w:style>
  <w:style w:type="paragraph" w:customStyle="1" w:styleId="146">
    <w:name w:val="bt"/>
    <w:basedOn w:val="1"/>
    <w:next w:val="2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文鼎粗黑"/>
      <w:kern w:val="0"/>
      <w:sz w:val="20"/>
    </w:rPr>
  </w:style>
  <w:style w:type="paragraph" w:customStyle="1" w:styleId="147">
    <w:name w:val="文档正文 Char Char Char Char Char"/>
    <w:basedOn w:val="1"/>
    <w:autoRedefine/>
    <w:qFormat/>
    <w:uiPriority w:val="0"/>
    <w:pPr>
      <w:adjustRightInd w:val="0"/>
      <w:spacing w:line="440" w:lineRule="exact"/>
      <w:ind w:firstLine="420"/>
      <w:textAlignment w:val="baseline"/>
    </w:pPr>
    <w:rPr>
      <w:rFonts w:ascii="仿宋_GB2312" w:hAnsi="仿宋_GB2312"/>
      <w:kern w:val="0"/>
      <w:sz w:val="24"/>
    </w:rPr>
  </w:style>
  <w:style w:type="paragraph" w:customStyle="1" w:styleId="148">
    <w:name w:val="Table Description"/>
    <w:next w:val="1"/>
    <w:autoRedefine/>
    <w:qFormat/>
    <w:uiPriority w:val="0"/>
    <w:pPr>
      <w:keepNext/>
      <w:snapToGrid w:val="0"/>
      <w:spacing w:before="160" w:after="80"/>
      <w:ind w:left="1134"/>
      <w:jc w:val="center"/>
    </w:pPr>
    <w:rPr>
      <w:rFonts w:ascii="Arial Narrow" w:hAnsi="Arial Narrow" w:eastAsia="昆仑楷体" w:cs="Times New Roman"/>
      <w:sz w:val="18"/>
      <w:lang w:val="en-US" w:eastAsia="zh-CN" w:bidi="ar-SA"/>
    </w:rPr>
  </w:style>
  <w:style w:type="paragraph" w:customStyle="1" w:styleId="149">
    <w:name w:val="正文 + 三号"/>
    <w:basedOn w:val="1"/>
    <w:autoRedefine/>
    <w:qFormat/>
    <w:uiPriority w:val="0"/>
    <w:rPr>
      <w:sz w:val="21"/>
    </w:rPr>
  </w:style>
  <w:style w:type="paragraph" w:customStyle="1" w:styleId="150">
    <w:name w:val="Char Char 字元 字元 字元 Char Char Char Char"/>
    <w:basedOn w:val="1"/>
    <w:autoRedefine/>
    <w:qFormat/>
    <w:uiPriority w:val="0"/>
    <w:pPr>
      <w:adjustRightInd w:val="0"/>
      <w:spacing w:line="360" w:lineRule="auto"/>
    </w:pPr>
    <w:rPr>
      <w:kern w:val="0"/>
      <w:sz w:val="24"/>
    </w:rPr>
  </w:style>
  <w:style w:type="paragraph" w:customStyle="1" w:styleId="151">
    <w:name w:val="项目"/>
    <w:basedOn w:val="1"/>
    <w:autoRedefine/>
    <w:qFormat/>
    <w:uiPriority w:val="0"/>
    <w:pPr>
      <w:tabs>
        <w:tab w:val="left" w:pos="1280"/>
      </w:tabs>
      <w:spacing w:before="120" w:after="120" w:line="360" w:lineRule="auto"/>
      <w:ind w:left="-7" w:firstLine="567"/>
      <w:jc w:val="left"/>
      <w:textAlignment w:val="baseline"/>
    </w:pPr>
    <w:rPr>
      <w:rFonts w:ascii="文鼎粗黑"/>
      <w:kern w:val="0"/>
      <w:sz w:val="24"/>
    </w:rPr>
  </w:style>
  <w:style w:type="paragraph" w:customStyle="1" w:styleId="152">
    <w:name w:val="段落正文"/>
    <w:basedOn w:val="1"/>
    <w:autoRedefine/>
    <w:qFormat/>
    <w:uiPriority w:val="0"/>
    <w:pPr>
      <w:spacing w:beforeLines="50" w:line="360" w:lineRule="auto"/>
      <w:ind w:firstLine="200" w:firstLineChars="200"/>
    </w:pPr>
    <w:rPr>
      <w:spacing w:val="2"/>
      <w:sz w:val="24"/>
    </w:rPr>
  </w:style>
  <w:style w:type="paragraph" w:customStyle="1" w:styleId="153">
    <w:name w:val="1"/>
    <w:basedOn w:val="1"/>
    <w:next w:val="31"/>
    <w:autoRedefine/>
    <w:qFormat/>
    <w:uiPriority w:val="0"/>
    <w:rPr>
      <w:rFonts w:ascii="文鼎粗黑" w:hAnsi="Cambria Math"/>
      <w:sz w:val="21"/>
    </w:rPr>
  </w:style>
  <w:style w:type="paragraph" w:customStyle="1" w:styleId="154">
    <w:name w:val="列出段落1"/>
    <w:basedOn w:val="1"/>
    <w:autoRedefine/>
    <w:qFormat/>
    <w:uiPriority w:val="34"/>
    <w:pPr>
      <w:ind w:firstLine="420" w:firstLineChars="200"/>
    </w:pPr>
    <w:rPr>
      <w:rFonts w:ascii="Calibri" w:hAnsi="Calibri"/>
      <w:sz w:val="21"/>
      <w:szCs w:val="22"/>
    </w:rPr>
  </w:style>
  <w:style w:type="paragraph" w:customStyle="1" w:styleId="155">
    <w:name w:val="正文字缩2字"/>
    <w:basedOn w:val="1"/>
    <w:autoRedefine/>
    <w:qFormat/>
    <w:uiPriority w:val="0"/>
    <w:pPr>
      <w:spacing w:before="60" w:after="60" w:line="360" w:lineRule="auto"/>
      <w:ind w:left="200" w:leftChars="200" w:firstLine="200" w:firstLineChars="200"/>
    </w:pPr>
    <w:rPr>
      <w:sz w:val="24"/>
    </w:rPr>
  </w:style>
  <w:style w:type="paragraph" w:customStyle="1" w:styleId="156">
    <w:name w:val="段 Char"/>
    <w:autoRedefine/>
    <w:qFormat/>
    <w:uiPriority w:val="0"/>
    <w:pPr>
      <w:autoSpaceDE w:val="0"/>
      <w:autoSpaceDN w:val="0"/>
      <w:ind w:firstLine="200" w:firstLineChars="200"/>
      <w:jc w:val="both"/>
    </w:pPr>
    <w:rPr>
      <w:rFonts w:ascii="文鼎粗黑" w:hAnsi="Times New Roman" w:eastAsia="宋体" w:cs="Times New Roman"/>
      <w:sz w:val="21"/>
      <w:lang w:val="en-US" w:eastAsia="zh-CN" w:bidi="ar-SA"/>
    </w:rPr>
  </w:style>
  <w:style w:type="paragraph" w:customStyle="1" w:styleId="157">
    <w:name w:val="样式 标题 2 + Times New Roman 四号 非加粗 段前: 5 磅 段后: 0 磅 行距: 固定值 20..."/>
    <w:basedOn w:val="3"/>
    <w:autoRedefine/>
    <w:qFormat/>
    <w:uiPriority w:val="99"/>
    <w:pPr>
      <w:spacing w:before="100" w:line="400" w:lineRule="exact"/>
    </w:pPr>
    <w:rPr>
      <w:rFonts w:ascii="Times New Roman" w:hAnsi="Times New Roman" w:cs="宋体"/>
      <w:kern w:val="0"/>
      <w:sz w:val="28"/>
    </w:rPr>
  </w:style>
  <w:style w:type="paragraph" w:customStyle="1" w:styleId="158">
    <w:name w:val="二级列表"/>
    <w:basedOn w:val="152"/>
    <w:next w:val="152"/>
    <w:autoRedefine/>
    <w:qFormat/>
    <w:uiPriority w:val="0"/>
    <w:pPr>
      <w:tabs>
        <w:tab w:val="left" w:pos="2120"/>
      </w:tabs>
      <w:ind w:firstLine="0" w:firstLineChars="0"/>
    </w:pPr>
    <w:rPr>
      <w:b/>
    </w:rPr>
  </w:style>
  <w:style w:type="paragraph" w:customStyle="1" w:styleId="159">
    <w:name w:val="Char Char14 Char Char"/>
    <w:basedOn w:val="1"/>
    <w:autoRedefine/>
    <w:qFormat/>
    <w:uiPriority w:val="0"/>
    <w:rPr>
      <w:sz w:val="21"/>
      <w:szCs w:val="24"/>
    </w:rPr>
  </w:style>
  <w:style w:type="paragraph" w:customStyle="1" w:styleId="160">
    <w:name w:val="图片文字"/>
    <w:basedOn w:val="1"/>
    <w:autoRedefine/>
    <w:qFormat/>
    <w:uiPriority w:val="0"/>
    <w:pPr>
      <w:spacing w:line="240" w:lineRule="atLeast"/>
      <w:jc w:val="center"/>
    </w:pPr>
    <w:rPr>
      <w:sz w:val="21"/>
    </w:rPr>
  </w:style>
  <w:style w:type="paragraph" w:customStyle="1" w:styleId="161">
    <w:name w:val="Char"/>
    <w:basedOn w:val="1"/>
    <w:autoRedefine/>
    <w:qFormat/>
    <w:uiPriority w:val="0"/>
    <w:pPr>
      <w:spacing w:line="240" w:lineRule="atLeast"/>
      <w:ind w:left="420" w:firstLine="420"/>
    </w:pPr>
    <w:rPr>
      <w:kern w:val="0"/>
      <w:sz w:val="21"/>
    </w:rPr>
  </w:style>
  <w:style w:type="paragraph" w:customStyle="1" w:styleId="162">
    <w:name w:val="操作步骤"/>
    <w:basedOn w:val="1"/>
    <w:autoRedefine/>
    <w:qFormat/>
    <w:uiPriority w:val="0"/>
    <w:pPr>
      <w:numPr>
        <w:ilvl w:val="0"/>
        <w:numId w:val="8"/>
      </w:numPr>
      <w:autoSpaceDE w:val="0"/>
      <w:autoSpaceDN w:val="0"/>
      <w:adjustRightInd w:val="0"/>
      <w:snapToGrid w:val="0"/>
      <w:spacing w:line="40" w:lineRule="atLeast"/>
      <w:textAlignment w:val="bottom"/>
    </w:pPr>
    <w:rPr>
      <w:rFonts w:ascii="Courier New" w:eastAsia="Verdana"/>
      <w:kern w:val="0"/>
      <w:sz w:val="21"/>
    </w:rPr>
  </w:style>
  <w:style w:type="paragraph" w:customStyle="1" w:styleId="163">
    <w:name w:val="Figure Description"/>
    <w:next w:val="1"/>
    <w:autoRedefine/>
    <w:qFormat/>
    <w:uiPriority w:val="0"/>
    <w:pPr>
      <w:snapToGrid w:val="0"/>
      <w:spacing w:before="80" w:after="320"/>
      <w:ind w:left="1134"/>
      <w:jc w:val="center"/>
    </w:pPr>
    <w:rPr>
      <w:rFonts w:ascii="Arial Narrow" w:hAnsi="Arial Narrow" w:eastAsia="昆仑楷体" w:cs="Times New Roman"/>
      <w:sz w:val="18"/>
      <w:lang w:val="en-US" w:eastAsia="zh-CN" w:bidi="ar-SA"/>
    </w:rPr>
  </w:style>
  <w:style w:type="paragraph" w:customStyle="1" w:styleId="164">
    <w:name w:val="AA Numbering"/>
    <w:basedOn w:val="1"/>
    <w:autoRedefine/>
    <w:qFormat/>
    <w:uiPriority w:val="0"/>
    <w:pPr>
      <w:widowControl/>
      <w:tabs>
        <w:tab w:val="left" w:pos="1134"/>
        <w:tab w:val="left" w:pos="1280"/>
      </w:tabs>
      <w:adjustRightInd w:val="0"/>
      <w:snapToGrid w:val="0"/>
      <w:spacing w:line="280" w:lineRule="atLeast"/>
      <w:jc w:val="left"/>
    </w:pPr>
    <w:rPr>
      <w:rFonts w:eastAsia="Arial"/>
      <w:kern w:val="0"/>
      <w:sz w:val="24"/>
      <w:lang w:eastAsia="zh-TW"/>
    </w:rPr>
  </w:style>
  <w:style w:type="paragraph" w:customStyle="1" w:styleId="165">
    <w:name w:val="摘要"/>
    <w:basedOn w:val="1"/>
    <w:next w:val="3"/>
    <w:autoRedefine/>
    <w:qFormat/>
    <w:uiPriority w:val="0"/>
    <w:pPr>
      <w:spacing w:line="360" w:lineRule="auto"/>
    </w:pPr>
    <w:rPr>
      <w:rFonts w:eastAsia="昆仑楷体"/>
      <w:sz w:val="20"/>
    </w:rPr>
  </w:style>
  <w:style w:type="paragraph" w:customStyle="1" w:styleId="166">
    <w:name w:val="Style Heading 3h3Heading 3 - oldLevel 3 HeadH3level_3PIM 3se..."/>
    <w:basedOn w:val="4"/>
    <w:autoRedefine/>
    <w:qFormat/>
    <w:uiPriority w:val="0"/>
    <w:pPr>
      <w:tabs>
        <w:tab w:val="left" w:pos="709"/>
        <w:tab w:val="left" w:pos="1620"/>
      </w:tabs>
      <w:ind w:left="1620" w:hanging="360"/>
    </w:pPr>
  </w:style>
  <w:style w:type="paragraph" w:customStyle="1" w:styleId="167">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68">
    <w:name w:val="样式4"/>
    <w:basedOn w:val="5"/>
    <w:autoRedefine/>
    <w:qFormat/>
    <w:uiPriority w:val="0"/>
    <w:pPr>
      <w:adjustRightInd w:val="0"/>
      <w:snapToGrid w:val="0"/>
    </w:pPr>
  </w:style>
  <w:style w:type="paragraph" w:customStyle="1" w:styleId="16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70">
    <w:name w:val="首行缩进 1"/>
    <w:basedOn w:val="1"/>
    <w:autoRedefine/>
    <w:qFormat/>
    <w:uiPriority w:val="0"/>
    <w:pPr>
      <w:spacing w:after="120" w:line="360" w:lineRule="auto"/>
      <w:ind w:firstLine="200" w:firstLineChars="200"/>
    </w:pPr>
    <w:rPr>
      <w:sz w:val="24"/>
    </w:rPr>
  </w:style>
  <w:style w:type="paragraph" w:customStyle="1" w:styleId="171">
    <w:name w:val="图例"/>
    <w:basedOn w:val="1"/>
    <w:autoRedefine/>
    <w:qFormat/>
    <w:uiPriority w:val="0"/>
    <w:pPr>
      <w:spacing w:before="120" w:after="120" w:line="360" w:lineRule="auto"/>
      <w:jc w:val="center"/>
    </w:pPr>
    <w:rPr>
      <w:rFonts w:eastAsia="Wingdings"/>
      <w:b/>
      <w:sz w:val="24"/>
    </w:rPr>
  </w:style>
  <w:style w:type="paragraph" w:customStyle="1" w:styleId="172">
    <w:name w:val="1.正文"/>
    <w:basedOn w:val="1"/>
    <w:autoRedefine/>
    <w:qFormat/>
    <w:uiPriority w:val="0"/>
    <w:pPr>
      <w:spacing w:line="360" w:lineRule="auto"/>
      <w:ind w:left="540" w:leftChars="225" w:firstLine="540" w:firstLineChars="225"/>
    </w:pPr>
    <w:rPr>
      <w:sz w:val="24"/>
    </w:rPr>
  </w:style>
  <w:style w:type="paragraph" w:customStyle="1" w:styleId="173">
    <w:name w:val="附录1"/>
    <w:basedOn w:val="1"/>
    <w:next w:val="1"/>
    <w:autoRedefine/>
    <w:qFormat/>
    <w:uiPriority w:val="0"/>
    <w:pPr>
      <w:tabs>
        <w:tab w:val="left" w:pos="1304"/>
      </w:tabs>
      <w:ind w:left="425" w:hanging="425"/>
      <w:outlineLvl w:val="0"/>
    </w:pPr>
    <w:rPr>
      <w:rFonts w:ascii="昆仑楷体" w:hAnsi="昆仑楷体" w:eastAsia="昆仑楷体"/>
      <w:b/>
      <w:sz w:val="44"/>
    </w:rPr>
  </w:style>
  <w:style w:type="paragraph" w:customStyle="1" w:styleId="174">
    <w:name w:val="关键词"/>
    <w:basedOn w:val="1"/>
    <w:next w:val="1"/>
    <w:autoRedefine/>
    <w:qFormat/>
    <w:uiPriority w:val="0"/>
    <w:pPr>
      <w:spacing w:line="360" w:lineRule="auto"/>
    </w:pPr>
    <w:rPr>
      <w:rFonts w:eastAsia="昆仑楷体"/>
      <w:sz w:val="20"/>
    </w:rPr>
  </w:style>
  <w:style w:type="paragraph" w:customStyle="1" w:styleId="175">
    <w:name w:val="标题无"/>
    <w:basedOn w:val="1"/>
    <w:autoRedefine/>
    <w:qFormat/>
    <w:uiPriority w:val="0"/>
    <w:pPr>
      <w:spacing w:line="360" w:lineRule="auto"/>
    </w:pPr>
    <w:rPr>
      <w:sz w:val="24"/>
    </w:rPr>
  </w:style>
  <w:style w:type="paragraph" w:customStyle="1" w:styleId="176">
    <w:name w:val="文本1"/>
    <w:basedOn w:val="1"/>
    <w:autoRedefine/>
    <w:qFormat/>
    <w:uiPriority w:val="0"/>
    <w:pPr>
      <w:adjustRightInd w:val="0"/>
      <w:spacing w:line="312" w:lineRule="atLeast"/>
      <w:jc w:val="center"/>
      <w:textAlignment w:val="baseline"/>
    </w:pPr>
    <w:rPr>
      <w:kern w:val="0"/>
      <w:sz w:val="18"/>
    </w:rPr>
  </w:style>
  <w:style w:type="paragraph" w:customStyle="1" w:styleId="177">
    <w:name w:val="Char1 Char Char Char1"/>
    <w:basedOn w:val="1"/>
    <w:autoRedefine/>
    <w:qFormat/>
    <w:uiPriority w:val="0"/>
    <w:rPr>
      <w:rFonts w:ascii="_x000B__x000C_" w:hAnsi="_x000B__x000C_"/>
      <w:sz w:val="30"/>
    </w:rPr>
  </w:style>
  <w:style w:type="paragraph" w:customStyle="1" w:styleId="178">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9">
    <w:name w:val="Item List"/>
    <w:autoRedefine/>
    <w:qFormat/>
    <w:uiPriority w:val="0"/>
    <w:pPr>
      <w:numPr>
        <w:ilvl w:val="0"/>
        <w:numId w:val="9"/>
      </w:numPr>
      <w:spacing w:line="300" w:lineRule="auto"/>
      <w:jc w:val="both"/>
    </w:pPr>
    <w:rPr>
      <w:rFonts w:ascii="Arial Narrow" w:hAnsi="Arial Narrow" w:eastAsia="宋体" w:cs="Times New Roman"/>
      <w:sz w:val="21"/>
      <w:lang w:val="en-US" w:eastAsia="zh-CN" w:bidi="ar-SA"/>
    </w:rPr>
  </w:style>
  <w:style w:type="paragraph" w:customStyle="1" w:styleId="180">
    <w:name w:val="IN Feature"/>
    <w:next w:val="131"/>
    <w:autoRedefine/>
    <w:qFormat/>
    <w:uiPriority w:val="0"/>
    <w:pPr>
      <w:keepNext/>
      <w:keepLines/>
      <w:spacing w:before="240" w:after="240"/>
      <w:outlineLvl w:val="7"/>
    </w:pPr>
    <w:rPr>
      <w:rFonts w:ascii="Arial Narrow" w:hAnsi="Arial Narrow" w:eastAsia="昆仑楷体" w:cs="Times New Roman"/>
      <w:sz w:val="21"/>
      <w:lang w:val="en-US" w:eastAsia="zh-CN" w:bidi="ar-SA"/>
    </w:rPr>
  </w:style>
  <w:style w:type="paragraph" w:customStyle="1" w:styleId="181">
    <w:name w:val="Char Char Char"/>
    <w:basedOn w:val="1"/>
    <w:autoRedefine/>
    <w:qFormat/>
    <w:uiPriority w:val="0"/>
    <w:rPr>
      <w:rFonts w:ascii="_x000B__x000C_" w:hAnsi="_x000B__x000C_"/>
      <w:sz w:val="24"/>
    </w:rPr>
  </w:style>
  <w:style w:type="paragraph" w:customStyle="1" w:styleId="182">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3">
    <w:name w:val="样式 正文首行缩进 2 + 首行缩进:  2 字符"/>
    <w:basedOn w:val="1"/>
    <w:autoRedefine/>
    <w:qFormat/>
    <w:uiPriority w:val="0"/>
    <w:pPr>
      <w:numPr>
        <w:ilvl w:val="0"/>
        <w:numId w:val="10"/>
      </w:numPr>
      <w:adjustRightInd w:val="0"/>
      <w:snapToGrid w:val="0"/>
      <w:spacing w:line="360" w:lineRule="auto"/>
    </w:pPr>
    <w:rPr>
      <w:rFonts w:ascii="Arial Narrow" w:hAnsi="Arial Narrow"/>
      <w:b/>
      <w:sz w:val="24"/>
    </w:rPr>
  </w:style>
  <w:style w:type="paragraph" w:customStyle="1" w:styleId="184">
    <w:name w:val="默认段落字体 Para Char Char Char Char Char Char Char Char Char1 Char Char Char Char"/>
    <w:basedOn w:val="1"/>
    <w:autoRedefine/>
    <w:qFormat/>
    <w:uiPriority w:val="0"/>
    <w:rPr>
      <w:rFonts w:ascii="_x000B__x000C_" w:hAnsi="_x000B__x000C_"/>
      <w:sz w:val="24"/>
    </w:rPr>
  </w:style>
  <w:style w:type="paragraph" w:customStyle="1" w:styleId="185">
    <w:name w:val="样式1"/>
    <w:basedOn w:val="5"/>
    <w:autoRedefine/>
    <w:qFormat/>
    <w:uiPriority w:val="0"/>
    <w:pPr>
      <w:tabs>
        <w:tab w:val="left" w:pos="720"/>
      </w:tabs>
      <w:spacing w:before="500" w:after="260" w:line="560" w:lineRule="atLeast"/>
      <w:ind w:left="420" w:hanging="420"/>
    </w:pPr>
  </w:style>
  <w:style w:type="paragraph" w:customStyle="1" w:styleId="186">
    <w:name w:val="样式2"/>
    <w:basedOn w:val="5"/>
    <w:autoRedefine/>
    <w:qFormat/>
    <w:uiPriority w:val="0"/>
    <w:pPr>
      <w:numPr>
        <w:ilvl w:val="0"/>
        <w:numId w:val="11"/>
      </w:numPr>
      <w:spacing w:before="560" w:line="400" w:lineRule="exact"/>
      <w:jc w:val="center"/>
      <w:outlineLvl w:val="0"/>
    </w:pPr>
    <w:rPr>
      <w:b w:val="0"/>
      <w:sz w:val="44"/>
    </w:rPr>
  </w:style>
  <w:style w:type="paragraph" w:customStyle="1" w:styleId="187">
    <w:name w:val="样式3"/>
    <w:basedOn w:val="2"/>
    <w:next w:val="2"/>
    <w:autoRedefine/>
    <w:qFormat/>
    <w:uiPriority w:val="0"/>
    <w:pPr>
      <w:keepLines/>
      <w:adjustRightInd w:val="0"/>
      <w:spacing w:before="340" w:after="330" w:line="576" w:lineRule="auto"/>
    </w:pPr>
    <w:rPr>
      <w:rFonts w:ascii="Tahoma" w:eastAsia="昆仑楷体"/>
      <w:b/>
      <w:kern w:val="44"/>
      <w:sz w:val="44"/>
    </w:rPr>
  </w:style>
  <w:style w:type="paragraph" w:customStyle="1" w:styleId="18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Wingdings"/>
      <w:kern w:val="0"/>
      <w:sz w:val="24"/>
    </w:rPr>
  </w:style>
  <w:style w:type="paragraph" w:customStyle="1" w:styleId="189">
    <w:name w:val="样式 正文缩进正文（首行缩进两字）表正文正文非缩进特点标题4段1 + 首行缩进:  2 字符"/>
    <w:basedOn w:val="16"/>
    <w:autoRedefine/>
    <w:qFormat/>
    <w:uiPriority w:val="0"/>
    <w:pPr>
      <w:ind w:firstLine="480" w:firstLineChars="200"/>
    </w:pPr>
  </w:style>
  <w:style w:type="paragraph" w:customStyle="1" w:styleId="190">
    <w:name w:val="附录4"/>
    <w:basedOn w:val="1"/>
    <w:next w:val="1"/>
    <w:autoRedefine/>
    <w:qFormat/>
    <w:uiPriority w:val="0"/>
    <w:pPr>
      <w:widowControl/>
      <w:tabs>
        <w:tab w:val="left" w:pos="1134"/>
      </w:tabs>
      <w:spacing w:line="300" w:lineRule="auto"/>
      <w:ind w:left="1361" w:hanging="1361"/>
      <w:outlineLvl w:val="3"/>
    </w:pPr>
    <w:rPr>
      <w:rFonts w:ascii="Arial Narrow" w:hAnsi="Arial Narrow" w:eastAsia="昆仑楷体"/>
      <w:kern w:val="0"/>
    </w:rPr>
  </w:style>
  <w:style w:type="paragraph" w:customStyle="1" w:styleId="191">
    <w:name w:val="文档正文 Char Char Char Char"/>
    <w:basedOn w:val="1"/>
    <w:autoRedefine/>
    <w:qFormat/>
    <w:uiPriority w:val="0"/>
    <w:pPr>
      <w:adjustRightInd w:val="0"/>
      <w:spacing w:line="440" w:lineRule="exact"/>
      <w:ind w:firstLine="420"/>
      <w:textAlignment w:val="baseline"/>
    </w:pPr>
    <w:rPr>
      <w:rFonts w:ascii="仿宋_GB2312" w:hAnsi="仿宋_GB2312"/>
      <w:kern w:val="0"/>
      <w:sz w:val="24"/>
    </w:rPr>
  </w:style>
  <w:style w:type="paragraph" w:customStyle="1" w:styleId="192">
    <w:name w:val="表头文本"/>
    <w:autoRedefine/>
    <w:qFormat/>
    <w:uiPriority w:val="0"/>
    <w:pPr>
      <w:jc w:val="center"/>
    </w:pPr>
    <w:rPr>
      <w:rFonts w:ascii="Arial Narrow" w:hAnsi="Arial Narrow" w:eastAsia="宋体" w:cs="Times New Roman"/>
      <w:b/>
      <w:sz w:val="21"/>
      <w:lang w:val="en-US" w:eastAsia="zh-CN" w:bidi="ar-SA"/>
    </w:rPr>
  </w:style>
  <w:style w:type="paragraph" w:customStyle="1" w:styleId="193">
    <w:name w:val="样式 宋体 五号 两端对齐 行距: 单倍行距"/>
    <w:basedOn w:val="1"/>
    <w:autoRedefine/>
    <w:qFormat/>
    <w:uiPriority w:val="0"/>
    <w:pPr>
      <w:adjustRightInd w:val="0"/>
      <w:textAlignment w:val="baseline"/>
    </w:pPr>
    <w:rPr>
      <w:rFonts w:ascii="文鼎粗黑" w:hAnsi="文鼎粗黑"/>
      <w:kern w:val="0"/>
      <w:sz w:val="21"/>
    </w:rPr>
  </w:style>
  <w:style w:type="paragraph" w:customStyle="1" w:styleId="194">
    <w:name w:val="默认段落字体 Para Char Char Char Char Char Char Char"/>
    <w:basedOn w:val="1"/>
    <w:autoRedefine/>
    <w:qFormat/>
    <w:uiPriority w:val="0"/>
    <w:rPr>
      <w:rFonts w:ascii="_x000B__x000C_" w:hAnsi="_x000B__x000C_"/>
      <w:sz w:val="24"/>
    </w:rPr>
  </w:style>
  <w:style w:type="paragraph" w:customStyle="1" w:styleId="195">
    <w:name w:val="样式 行距: 1.5 倍行距1"/>
    <w:basedOn w:val="1"/>
    <w:autoRedefine/>
    <w:qFormat/>
    <w:uiPriority w:val="0"/>
    <w:pPr>
      <w:snapToGrid w:val="0"/>
    </w:pPr>
    <w:rPr>
      <w:sz w:val="21"/>
    </w:rPr>
  </w:style>
  <w:style w:type="paragraph" w:customStyle="1" w:styleId="196">
    <w:name w:val="00"/>
    <w:basedOn w:val="1"/>
    <w:autoRedefine/>
    <w:qFormat/>
    <w:uiPriority w:val="0"/>
    <w:pPr>
      <w:autoSpaceDE w:val="0"/>
      <w:autoSpaceDN w:val="0"/>
      <w:adjustRightInd w:val="0"/>
      <w:jc w:val="left"/>
    </w:pPr>
    <w:rPr>
      <w:rFonts w:ascii="昆仑楷体" w:eastAsia="昆仑楷体"/>
      <w:b/>
      <w:kern w:val="0"/>
      <w:sz w:val="20"/>
    </w:rPr>
  </w:style>
  <w:style w:type="paragraph" w:customStyle="1" w:styleId="197">
    <w:name w:val="Title - Date"/>
    <w:basedOn w:val="55"/>
    <w:next w:val="1"/>
    <w:autoRedefine/>
    <w:qFormat/>
    <w:uiPriority w:val="0"/>
    <w:pPr>
      <w:spacing w:before="240" w:after="720"/>
    </w:pPr>
    <w:rPr>
      <w:sz w:val="28"/>
    </w:rPr>
  </w:style>
  <w:style w:type="paragraph" w:customStyle="1" w:styleId="198">
    <w:name w:val="Item Step in Table"/>
    <w:autoRedefine/>
    <w:qFormat/>
    <w:uiPriority w:val="0"/>
    <w:pPr>
      <w:numPr>
        <w:ilvl w:val="0"/>
        <w:numId w:val="7"/>
      </w:numPr>
      <w:tabs>
        <w:tab w:val="left" w:pos="397"/>
      </w:tabs>
      <w:spacing w:before="40" w:after="40"/>
      <w:jc w:val="both"/>
    </w:pPr>
    <w:rPr>
      <w:rFonts w:ascii="Arial Narrow" w:hAnsi="Arial Narrow" w:eastAsia="宋体" w:cs="Times New Roman"/>
      <w:sz w:val="18"/>
      <w:lang w:val="en-US" w:eastAsia="zh-CN" w:bidi="ar-SA"/>
    </w:rPr>
  </w:style>
  <w:style w:type="paragraph" w:customStyle="1" w:styleId="199">
    <w:name w:val="可研正文"/>
    <w:basedOn w:val="23"/>
    <w:autoRedefine/>
    <w:qFormat/>
    <w:uiPriority w:val="0"/>
    <w:pPr>
      <w:adjustRightInd w:val="0"/>
      <w:snapToGrid w:val="0"/>
      <w:spacing w:line="440" w:lineRule="exact"/>
      <w:ind w:firstLine="567"/>
    </w:pPr>
    <w:rPr>
      <w:sz w:val="28"/>
    </w:rPr>
  </w:style>
  <w:style w:type="paragraph" w:customStyle="1" w:styleId="200">
    <w:name w:val="Char2"/>
    <w:basedOn w:val="1"/>
    <w:autoRedefine/>
    <w:qFormat/>
    <w:uiPriority w:val="0"/>
    <w:pPr>
      <w:spacing w:line="240" w:lineRule="atLeast"/>
      <w:ind w:left="420" w:firstLine="420"/>
    </w:pPr>
    <w:rPr>
      <w:kern w:val="0"/>
      <w:sz w:val="21"/>
    </w:rPr>
  </w:style>
  <w:style w:type="paragraph" w:customStyle="1" w:styleId="201">
    <w:name w:val="Table Text Char1"/>
    <w:autoRedefine/>
    <w:qFormat/>
    <w:uiPriority w:val="0"/>
    <w:pPr>
      <w:snapToGrid w:val="0"/>
      <w:spacing w:before="80" w:after="80"/>
    </w:pPr>
    <w:rPr>
      <w:rFonts w:ascii="Arial Narrow" w:hAnsi="Arial Narrow" w:eastAsia="宋体" w:cs="Times New Roman"/>
      <w:kern w:val="2"/>
      <w:sz w:val="18"/>
      <w:lang w:val="en-US" w:eastAsia="zh-CN" w:bidi="ar-SA"/>
    </w:rPr>
  </w:style>
  <w:style w:type="paragraph" w:customStyle="1" w:styleId="202">
    <w:name w:val="WPSOffice手动目录 1"/>
    <w:autoRedefine/>
    <w:qFormat/>
    <w:uiPriority w:val="0"/>
    <w:rPr>
      <w:rFonts w:ascii="Times New Roman" w:hAnsi="Times New Roman" w:eastAsia="宋体" w:cs="Times New Roman"/>
      <w:lang w:val="en-US" w:eastAsia="zh-CN" w:bidi="ar-SA"/>
    </w:rPr>
  </w:style>
  <w:style w:type="paragraph" w:customStyle="1" w:styleId="203">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04">
    <w:name w:val="Char Char Char Char Char Char Char Char Char Char Char Char Char"/>
    <w:basedOn w:val="1"/>
    <w:autoRedefine/>
    <w:qFormat/>
    <w:uiPriority w:val="0"/>
    <w:pPr>
      <w:widowControl/>
      <w:spacing w:after="160" w:line="240" w:lineRule="exact"/>
      <w:jc w:val="left"/>
    </w:pPr>
    <w:rPr>
      <w:rFonts w:ascii="@方正小标宋_GBK" w:hAnsi="@方正小标宋_GBK" w:eastAsia="Wingdings"/>
      <w:kern w:val="0"/>
      <w:sz w:val="24"/>
      <w:lang w:eastAsia="en-US"/>
    </w:rPr>
  </w:style>
  <w:style w:type="paragraph" w:customStyle="1" w:styleId="205">
    <w:name w:val="Char Char Char Char Char"/>
    <w:basedOn w:val="1"/>
    <w:autoRedefine/>
    <w:qFormat/>
    <w:uiPriority w:val="0"/>
    <w:pPr>
      <w:tabs>
        <w:tab w:val="left" w:pos="425"/>
      </w:tabs>
      <w:ind w:left="1620" w:hanging="360"/>
    </w:pPr>
    <w:rPr>
      <w:rFonts w:ascii="_x000B__x000C_" w:hAnsi="_x000B__x000C_"/>
      <w:sz w:val="24"/>
    </w:rPr>
  </w:style>
  <w:style w:type="paragraph" w:customStyle="1" w:styleId="206">
    <w:name w:val="正文表格"/>
    <w:basedOn w:val="1"/>
    <w:autoRedefine/>
    <w:qFormat/>
    <w:uiPriority w:val="0"/>
    <w:pPr>
      <w:adjustRightInd w:val="0"/>
      <w:spacing w:before="40" w:after="40"/>
    </w:pPr>
    <w:rPr>
      <w:sz w:val="24"/>
    </w:rPr>
  </w:style>
  <w:style w:type="paragraph" w:customStyle="1" w:styleId="207">
    <w:name w:val="样式 仿宋_GB2312 首行缩进:  2 字符"/>
    <w:basedOn w:val="1"/>
    <w:autoRedefine/>
    <w:qFormat/>
    <w:uiPriority w:val="0"/>
    <w:pPr>
      <w:spacing w:line="600" w:lineRule="exact"/>
      <w:ind w:firstLine="420" w:firstLineChars="150"/>
      <w:jc w:val="left"/>
    </w:pPr>
    <w:rPr>
      <w:rFonts w:ascii="Wingdings" w:hAnsi="Arial Narrow" w:eastAsia="Wingdings"/>
      <w:color w:val="000000"/>
      <w:kern w:val="0"/>
      <w:lang w:val="zh-CN"/>
    </w:rPr>
  </w:style>
  <w:style w:type="paragraph" w:customStyle="1" w:styleId="208">
    <w:name w:val="Char Char1 Char Char Char Char Char Char Char Char Char Char Char Char Char Char"/>
    <w:basedOn w:val="1"/>
    <w:autoRedefine/>
    <w:qFormat/>
    <w:uiPriority w:val="0"/>
    <w:pPr>
      <w:widowControl/>
      <w:spacing w:after="160" w:line="240" w:lineRule="exact"/>
      <w:jc w:val="left"/>
    </w:pPr>
    <w:rPr>
      <w:rFonts w:ascii="@方正小标宋_GBK" w:hAnsi="@方正小标宋_GBK"/>
      <w:kern w:val="0"/>
      <w:sz w:val="20"/>
      <w:lang w:eastAsia="en-US"/>
    </w:rPr>
  </w:style>
  <w:style w:type="paragraph" w:customStyle="1" w:styleId="209">
    <w:name w:val="文本框样式1"/>
    <w:basedOn w:val="1"/>
    <w:autoRedefine/>
    <w:qFormat/>
    <w:uiPriority w:val="0"/>
    <w:pPr>
      <w:adjustRightInd w:val="0"/>
      <w:snapToGrid w:val="0"/>
      <w:spacing w:before="60" w:line="180" w:lineRule="exact"/>
      <w:jc w:val="center"/>
    </w:pPr>
    <w:rPr>
      <w:sz w:val="21"/>
    </w:rPr>
  </w:style>
  <w:style w:type="paragraph" w:customStyle="1" w:styleId="210">
    <w:name w:val="正文文本缩进 21"/>
    <w:basedOn w:val="1"/>
    <w:autoRedefine/>
    <w:qFormat/>
    <w:uiPriority w:val="0"/>
    <w:pPr>
      <w:adjustRightInd w:val="0"/>
      <w:spacing w:before="120"/>
      <w:ind w:firstLine="420"/>
      <w:textAlignment w:val="baseline"/>
    </w:pPr>
    <w:rPr>
      <w:sz w:val="24"/>
    </w:rPr>
  </w:style>
  <w:style w:type="paragraph" w:customStyle="1" w:styleId="211">
    <w:name w:val="合同编号"/>
    <w:basedOn w:val="1"/>
    <w:autoRedefine/>
    <w:qFormat/>
    <w:uiPriority w:val="0"/>
    <w:pPr>
      <w:spacing w:line="300" w:lineRule="auto"/>
      <w:ind w:right="1600"/>
      <w:jc w:val="right"/>
    </w:pPr>
    <w:rPr>
      <w:rFonts w:ascii="黑体" w:eastAsia="黑体"/>
      <w:kern w:val="0"/>
      <w:sz w:val="32"/>
      <w:szCs w:val="32"/>
      <w:lang w:bidi="en-US"/>
    </w:rPr>
  </w:style>
  <w:style w:type="paragraph" w:customStyle="1" w:styleId="212">
    <w:name w:val="合同标题"/>
    <w:basedOn w:val="1"/>
    <w:autoRedefine/>
    <w:qFormat/>
    <w:uiPriority w:val="0"/>
    <w:pPr>
      <w:widowControl/>
      <w:spacing w:line="480" w:lineRule="auto"/>
      <w:jc w:val="center"/>
    </w:pPr>
    <w:rPr>
      <w:b/>
      <w:kern w:val="0"/>
      <w:sz w:val="52"/>
      <w:szCs w:val="24"/>
      <w:lang w:eastAsia="en-US" w:bidi="en-US"/>
    </w:rPr>
  </w:style>
  <w:style w:type="paragraph" w:customStyle="1" w:styleId="213">
    <w:name w:val="合同要件"/>
    <w:basedOn w:val="1"/>
    <w:autoRedefine/>
    <w:qFormat/>
    <w:uiPriority w:val="0"/>
    <w:pPr>
      <w:widowControl/>
      <w:adjustRightInd w:val="0"/>
      <w:snapToGrid w:val="0"/>
      <w:spacing w:line="480" w:lineRule="auto"/>
      <w:ind w:firstLine="200" w:firstLineChars="200"/>
      <w:jc w:val="left"/>
    </w:pPr>
    <w:rPr>
      <w:rFonts w:eastAsia="黑体"/>
      <w:kern w:val="0"/>
      <w:sz w:val="32"/>
      <w:szCs w:val="24"/>
      <w:lang w:bidi="en-US"/>
    </w:rPr>
  </w:style>
  <w:style w:type="paragraph" w:customStyle="1" w:styleId="214">
    <w:name w:val="合同制发"/>
    <w:basedOn w:val="1"/>
    <w:autoRedefine/>
    <w:qFormat/>
    <w:uiPriority w:val="0"/>
    <w:pPr>
      <w:widowControl/>
      <w:spacing w:line="480" w:lineRule="auto"/>
      <w:jc w:val="center"/>
    </w:pPr>
    <w:rPr>
      <w:b/>
      <w:kern w:val="0"/>
      <w:sz w:val="30"/>
      <w:szCs w:val="24"/>
      <w:lang w:eastAsia="en-US" w:bidi="en-US"/>
    </w:rPr>
  </w:style>
  <w:style w:type="paragraph" w:customStyle="1" w:styleId="215">
    <w:name w:val="共同条款"/>
    <w:basedOn w:val="1"/>
    <w:autoRedefine/>
    <w:qFormat/>
    <w:uiPriority w:val="0"/>
    <w:pPr>
      <w:spacing w:line="360" w:lineRule="auto"/>
      <w:ind w:firstLine="3063" w:firstLineChars="850"/>
    </w:pPr>
    <w:rPr>
      <w:rFonts w:ascii="宋体" w:hAnsi="宋体" w:eastAsia="微软雅黑"/>
      <w:b/>
      <w:kern w:val="0"/>
      <w:sz w:val="36"/>
      <w:szCs w:val="36"/>
      <w:lang w:bidi="en-US"/>
    </w:rPr>
  </w:style>
  <w:style w:type="paragraph" w:customStyle="1" w:styleId="216">
    <w:name w:val="公文正文"/>
    <w:basedOn w:val="1"/>
    <w:autoRedefine/>
    <w:qFormat/>
    <w:uiPriority w:val="0"/>
    <w:pPr>
      <w:widowControl/>
      <w:spacing w:line="300" w:lineRule="auto"/>
      <w:ind w:left="240" w:leftChars="100" w:firstLine="640" w:firstLineChars="200"/>
    </w:pPr>
    <w:rPr>
      <w:rFonts w:eastAsia="仿宋_GB2312"/>
      <w:kern w:val="0"/>
      <w:sz w:val="32"/>
      <w:szCs w:val="24"/>
      <w:lang w:eastAsia="en-US" w:bidi="en-US"/>
    </w:rPr>
  </w:style>
  <w:style w:type="paragraph" w:customStyle="1" w:styleId="217">
    <w:name w:val="公文一级标题"/>
    <w:basedOn w:val="216"/>
    <w:autoRedefine/>
    <w:qFormat/>
    <w:uiPriority w:val="0"/>
    <w:rPr>
      <w:rFonts w:eastAsia="黑体"/>
      <w:szCs w:val="32"/>
    </w:rPr>
  </w:style>
  <w:style w:type="character" w:customStyle="1" w:styleId="218">
    <w:name w:val="标题 2 Char"/>
    <w:link w:val="3"/>
    <w:autoRedefine/>
    <w:qFormat/>
    <w:uiPriority w:val="0"/>
    <w:rPr>
      <w:rFonts w:ascii="Arial Narrow" w:hAnsi="Arial Narrow" w:eastAsia="昆仑楷体"/>
      <w:b/>
      <w:kern w:val="2"/>
      <w:sz w:val="32"/>
    </w:rPr>
  </w:style>
  <w:style w:type="character" w:customStyle="1" w:styleId="219">
    <w:name w:val="标题 3 Char"/>
    <w:link w:val="4"/>
    <w:autoRedefine/>
    <w:qFormat/>
    <w:uiPriority w:val="0"/>
    <w:rPr>
      <w:rFonts w:eastAsia="文鼎粗黑"/>
      <w:b/>
      <w:kern w:val="2"/>
      <w:sz w:val="32"/>
      <w:lang w:val="en-US" w:eastAsia="zh-CN"/>
    </w:rPr>
  </w:style>
  <w:style w:type="character" w:customStyle="1" w:styleId="220">
    <w:name w:val="标题 4 Char"/>
    <w:link w:val="5"/>
    <w:autoRedefine/>
    <w:qFormat/>
    <w:uiPriority w:val="0"/>
    <w:rPr>
      <w:rFonts w:ascii="Arial Narrow" w:hAnsi="Arial Narrow" w:eastAsia="昆仑楷体"/>
      <w:b/>
      <w:kern w:val="2"/>
      <w:sz w:val="28"/>
    </w:rPr>
  </w:style>
  <w:style w:type="character" w:customStyle="1" w:styleId="221">
    <w:name w:val="批注文字 Char"/>
    <w:link w:val="20"/>
    <w:autoRedefine/>
    <w:qFormat/>
    <w:uiPriority w:val="0"/>
    <w:rPr>
      <w:sz w:val="24"/>
    </w:rPr>
  </w:style>
  <w:style w:type="character" w:customStyle="1" w:styleId="222">
    <w:name w:val="正文文本缩进 Char"/>
    <w:link w:val="24"/>
    <w:autoRedefine/>
    <w:qFormat/>
    <w:uiPriority w:val="0"/>
    <w:rPr>
      <w:kern w:val="2"/>
      <w:sz w:val="44"/>
    </w:rPr>
  </w:style>
  <w:style w:type="character" w:customStyle="1" w:styleId="223">
    <w:name w:val="日期 Char"/>
    <w:link w:val="33"/>
    <w:autoRedefine/>
    <w:qFormat/>
    <w:uiPriority w:val="0"/>
    <w:rPr>
      <w:kern w:val="2"/>
      <w:sz w:val="28"/>
    </w:rPr>
  </w:style>
  <w:style w:type="character" w:customStyle="1" w:styleId="224">
    <w:name w:val="正文文本缩进 2 Char"/>
    <w:link w:val="34"/>
    <w:autoRedefine/>
    <w:qFormat/>
    <w:uiPriority w:val="0"/>
    <w:rPr>
      <w:kern w:val="2"/>
      <w:sz w:val="28"/>
    </w:rPr>
  </w:style>
  <w:style w:type="character" w:customStyle="1" w:styleId="225">
    <w:name w:val="页脚 Char"/>
    <w:link w:val="36"/>
    <w:qFormat/>
    <w:uiPriority w:val="99"/>
    <w:rPr>
      <w:kern w:val="2"/>
      <w:sz w:val="18"/>
    </w:rPr>
  </w:style>
  <w:style w:type="character" w:customStyle="1" w:styleId="226">
    <w:name w:val="页眉 Char"/>
    <w:link w:val="37"/>
    <w:qFormat/>
    <w:uiPriority w:val="0"/>
    <w:rPr>
      <w:kern w:val="2"/>
      <w:sz w:val="18"/>
    </w:rPr>
  </w:style>
  <w:style w:type="character" w:customStyle="1" w:styleId="227">
    <w:name w:val="脚注文本 Char"/>
    <w:link w:val="42"/>
    <w:qFormat/>
    <w:uiPriority w:val="0"/>
    <w:rPr>
      <w:kern w:val="2"/>
      <w:sz w:val="18"/>
    </w:rPr>
  </w:style>
  <w:style w:type="character" w:customStyle="1" w:styleId="228">
    <w:name w:val="批注主题 Char"/>
    <w:basedOn w:val="221"/>
    <w:link w:val="56"/>
    <w:qFormat/>
    <w:uiPriority w:val="0"/>
    <w:rPr>
      <w:sz w:val="24"/>
    </w:rPr>
  </w:style>
  <w:style w:type="character" w:customStyle="1" w:styleId="229">
    <w:name w:val="正文首行缩进 2 Char"/>
    <w:basedOn w:val="222"/>
    <w:link w:val="58"/>
    <w:qFormat/>
    <w:uiPriority w:val="0"/>
    <w:rPr>
      <w:kern w:val="2"/>
      <w:sz w:val="44"/>
    </w:rPr>
  </w:style>
  <w:style w:type="character" w:customStyle="1" w:styleId="230">
    <w:name w:val="标书正文:  0.74 厘米 Char1"/>
    <w:qFormat/>
    <w:uiPriority w:val="0"/>
    <w:rPr>
      <w:rFonts w:eastAsia="文鼎粗黑"/>
      <w:kern w:val="2"/>
      <w:sz w:val="24"/>
      <w:lang w:val="en-US" w:eastAsia="zh-CN"/>
    </w:rPr>
  </w:style>
  <w:style w:type="character" w:customStyle="1" w:styleId="231">
    <w:name w:val="正文 + 三号 Char"/>
    <w:qFormat/>
    <w:uiPriority w:val="0"/>
    <w:rPr>
      <w:rFonts w:eastAsia="文鼎粗黑"/>
      <w:kern w:val="2"/>
      <w:sz w:val="21"/>
      <w:lang w:val="en-US" w:eastAsia="zh-CN"/>
    </w:rPr>
  </w:style>
  <w:style w:type="character" w:customStyle="1" w:styleId="232">
    <w:name w:val="Table Text Char1 Char"/>
    <w:qFormat/>
    <w:uiPriority w:val="0"/>
    <w:rPr>
      <w:rFonts w:ascii="Arial Narrow" w:hAnsi="Arial Narrow"/>
      <w:kern w:val="2"/>
      <w:sz w:val="18"/>
      <w:lang w:val="en-US" w:eastAsia="zh-CN" w:bidi="ar-SA"/>
    </w:rPr>
  </w:style>
  <w:style w:type="character" w:customStyle="1" w:styleId="233">
    <w:name w:val="font1"/>
    <w:qFormat/>
    <w:uiPriority w:val="0"/>
    <w:rPr>
      <w:color w:val="000000"/>
      <w:sz w:val="18"/>
    </w:rPr>
  </w:style>
  <w:style w:type="character" w:customStyle="1" w:styleId="234">
    <w:name w:val="content-white1"/>
    <w:qFormat/>
    <w:uiPriority w:val="0"/>
    <w:rPr>
      <w:rFonts w:ascii="楷体_GB2312" w:hAnsi="楷体_GB2312"/>
      <w:color w:val="auto"/>
      <w:sz w:val="18"/>
      <w:u w:val="none"/>
    </w:rPr>
  </w:style>
  <w:style w:type="character" w:customStyle="1" w:styleId="235">
    <w:name w:val="font11"/>
    <w:basedOn w:val="61"/>
    <w:qFormat/>
    <w:uiPriority w:val="0"/>
    <w:rPr>
      <w:rFonts w:hint="eastAsia" w:ascii="宋体" w:hAnsi="宋体" w:eastAsia="宋体" w:cs="宋体"/>
      <w:color w:val="000000"/>
      <w:sz w:val="20"/>
      <w:szCs w:val="20"/>
      <w:u w:val="none"/>
      <w:vertAlign w:val="superscript"/>
    </w:rPr>
  </w:style>
  <w:style w:type="character" w:customStyle="1" w:styleId="236">
    <w:name w:val="Table Text Char"/>
    <w:link w:val="70"/>
    <w:qFormat/>
    <w:uiPriority w:val="0"/>
    <w:rPr>
      <w:rFonts w:ascii="Arial Narrow" w:hAnsi="Arial Narrow"/>
      <w:kern w:val="2"/>
      <w:sz w:val="18"/>
      <w:lang w:val="en-US" w:eastAsia="zh-CN" w:bidi="ar-SA"/>
    </w:rPr>
  </w:style>
  <w:style w:type="character" w:customStyle="1" w:styleId="237">
    <w:name w:val="crowed11"/>
    <w:qFormat/>
    <w:uiPriority w:val="0"/>
    <w:rPr>
      <w:rFonts w:hint="default" w:ascii="楷体_GB2312" w:hAnsi="楷体_GB2312"/>
      <w:sz w:val="24"/>
    </w:rPr>
  </w:style>
  <w:style w:type="character" w:customStyle="1" w:styleId="238">
    <w:name w:val="H2 Char"/>
    <w:qFormat/>
    <w:uiPriority w:val="0"/>
    <w:rPr>
      <w:rFonts w:ascii="Arial Narrow" w:hAnsi="Arial Narrow" w:eastAsia="文鼎粗黑"/>
      <w:kern w:val="2"/>
      <w:sz w:val="28"/>
      <w:lang w:val="en-US" w:eastAsia="zh-CN"/>
    </w:rPr>
  </w:style>
  <w:style w:type="character" w:customStyle="1" w:styleId="239">
    <w:name w:val="Char Char"/>
    <w:qFormat/>
    <w:uiPriority w:val="0"/>
    <w:rPr>
      <w:rFonts w:ascii="文鼎粗黑" w:hAnsi="文鼎粗黑" w:eastAsia="文鼎粗黑"/>
      <w:kern w:val="2"/>
      <w:sz w:val="24"/>
      <w:lang w:val="en-US" w:eastAsia="zh-CN" w:bidi="ar-SA"/>
    </w:rPr>
  </w:style>
  <w:style w:type="character" w:customStyle="1" w:styleId="240">
    <w:name w:val="Char Char4"/>
    <w:qFormat/>
    <w:uiPriority w:val="0"/>
    <w:rPr>
      <w:rFonts w:eastAsia="文鼎粗黑"/>
      <w:b/>
      <w:kern w:val="2"/>
      <w:sz w:val="21"/>
      <w:lang w:val="en-US" w:eastAsia="zh-CN"/>
    </w:rPr>
  </w:style>
  <w:style w:type="character" w:customStyle="1" w:styleId="241">
    <w:name w:val="Table Heading Char Char"/>
    <w:qFormat/>
    <w:uiPriority w:val="0"/>
    <w:rPr>
      <w:rFonts w:ascii="Arial Narrow" w:hAnsi="Arial Narrow" w:eastAsia="昆仑楷体"/>
      <w:kern w:val="2"/>
      <w:sz w:val="18"/>
      <w:lang w:val="en-US" w:eastAsia="zh-CN"/>
    </w:rPr>
  </w:style>
  <w:style w:type="character" w:customStyle="1" w:styleId="242">
    <w:name w:val="top-det1"/>
    <w:qFormat/>
    <w:uiPriority w:val="0"/>
    <w:rPr>
      <w:b/>
      <w:color w:val="000000"/>
    </w:rPr>
  </w:style>
  <w:style w:type="character" w:customStyle="1" w:styleId="243">
    <w:name w:val="Char Char5"/>
    <w:qFormat/>
    <w:uiPriority w:val="0"/>
    <w:rPr>
      <w:rFonts w:ascii="Arial Narrow" w:hAnsi="Arial Narrow" w:eastAsia="文鼎粗黑"/>
      <w:b/>
      <w:smallCaps/>
      <w:kern w:val="28"/>
      <w:sz w:val="36"/>
      <w:lang w:val="en-US" w:eastAsia="en-US"/>
    </w:rPr>
  </w:style>
  <w:style w:type="character" w:customStyle="1" w:styleId="244">
    <w:name w:val="Char Char6"/>
    <w:qFormat/>
    <w:uiPriority w:val="0"/>
    <w:rPr>
      <w:rFonts w:ascii="Wingdings" w:eastAsia="Wingdings"/>
      <w:kern w:val="2"/>
      <w:sz w:val="32"/>
    </w:rPr>
  </w:style>
  <w:style w:type="character" w:customStyle="1" w:styleId="245">
    <w:name w:val="样式 宋体"/>
    <w:qFormat/>
    <w:uiPriority w:val="0"/>
    <w:rPr>
      <w:rFonts w:ascii="文鼎粗黑" w:hAnsi="文鼎粗黑" w:eastAsia="文鼎粗黑"/>
      <w:sz w:val="28"/>
    </w:rPr>
  </w:style>
  <w:style w:type="character" w:customStyle="1" w:styleId="246">
    <w:name w:val="font51"/>
    <w:qFormat/>
    <w:uiPriority w:val="0"/>
    <w:rPr>
      <w:rFonts w:hint="eastAsia" w:ascii="宋体" w:hAnsi="宋体" w:eastAsia="宋体" w:cs="宋体"/>
      <w:color w:val="000000"/>
      <w:sz w:val="20"/>
      <w:szCs w:val="20"/>
      <w:u w:val="none"/>
    </w:rPr>
  </w:style>
  <w:style w:type="character" w:customStyle="1" w:styleId="247">
    <w:name w:val="font31"/>
    <w:basedOn w:val="61"/>
    <w:qFormat/>
    <w:uiPriority w:val="0"/>
    <w:rPr>
      <w:rFonts w:hint="eastAsia" w:ascii="宋体" w:hAnsi="宋体" w:eastAsia="宋体" w:cs="宋体"/>
      <w:color w:val="000000"/>
      <w:sz w:val="20"/>
      <w:szCs w:val="20"/>
      <w:u w:val="none"/>
    </w:rPr>
  </w:style>
  <w:style w:type="character" w:customStyle="1" w:styleId="248">
    <w:name w:val="v151"/>
    <w:qFormat/>
    <w:uiPriority w:val="0"/>
    <w:rPr>
      <w:sz w:val="18"/>
    </w:rPr>
  </w:style>
  <w:style w:type="character" w:customStyle="1" w:styleId="249">
    <w:name w:val="Char Char3"/>
    <w:qFormat/>
    <w:uiPriority w:val="0"/>
    <w:rPr>
      <w:rFonts w:eastAsia="文鼎粗黑"/>
      <w:kern w:val="2"/>
      <w:sz w:val="18"/>
      <w:lang w:val="en-US" w:eastAsia="zh-CN"/>
    </w:rPr>
  </w:style>
  <w:style w:type="character" w:customStyle="1" w:styleId="250">
    <w:name w:val="Char Char11"/>
    <w:qFormat/>
    <w:uiPriority w:val="0"/>
    <w:rPr>
      <w:rFonts w:ascii="文鼎粗黑"/>
      <w:kern w:val="2"/>
      <w:sz w:val="28"/>
    </w:rPr>
  </w:style>
  <w:style w:type="character" w:customStyle="1" w:styleId="251">
    <w:name w:val="Char Char2"/>
    <w:qFormat/>
    <w:uiPriority w:val="0"/>
    <w:rPr>
      <w:rFonts w:eastAsia="文鼎粗黑"/>
      <w:kern w:val="2"/>
      <w:sz w:val="18"/>
      <w:lang w:val="en-US" w:eastAsia="zh-CN"/>
    </w:rPr>
  </w:style>
  <w:style w:type="character" w:customStyle="1" w:styleId="252">
    <w:name w:val="font71"/>
    <w:qFormat/>
    <w:uiPriority w:val="0"/>
    <w:rPr>
      <w:rFonts w:hint="default" w:ascii="Times New Roman" w:hAnsi="Times New Roman" w:cs="Times New Roman"/>
      <w:color w:val="000000"/>
      <w:sz w:val="22"/>
      <w:szCs w:val="22"/>
      <w:u w:val="none"/>
    </w:rPr>
  </w:style>
  <w:style w:type="character" w:customStyle="1" w:styleId="253">
    <w:name w:val="文字 Char"/>
    <w:link w:val="71"/>
    <w:qFormat/>
    <w:uiPriority w:val="0"/>
    <w:rPr>
      <w:rFonts w:ascii="文鼎粗黑"/>
      <w:kern w:val="2"/>
      <w:sz w:val="28"/>
    </w:rPr>
  </w:style>
  <w:style w:type="character" w:customStyle="1" w:styleId="254">
    <w:name w:val="未命名11"/>
    <w:qFormat/>
    <w:uiPriority w:val="0"/>
    <w:rPr>
      <w:color w:val="77FFFF"/>
      <w:sz w:val="24"/>
    </w:rPr>
  </w:style>
  <w:style w:type="character" w:customStyle="1" w:styleId="255">
    <w:name w:val="小 Char"/>
    <w:qFormat/>
    <w:uiPriority w:val="0"/>
    <w:rPr>
      <w:rFonts w:ascii="文鼎粗黑" w:hAnsi="Cambria Math" w:eastAsia="文鼎粗黑"/>
      <w:kern w:val="2"/>
      <w:sz w:val="21"/>
      <w:lang w:val="en-US" w:eastAsia="zh-CN" w:bidi="ar-SA"/>
    </w:rPr>
  </w:style>
  <w:style w:type="character" w:customStyle="1" w:styleId="256">
    <w:name w:val="title_emph1"/>
    <w:qFormat/>
    <w:uiPriority w:val="0"/>
    <w:rPr>
      <w:rFonts w:hint="default" w:ascii="Arial Narrow" w:hAnsi="Arial Narrow"/>
      <w:b/>
      <w:sz w:val="20"/>
    </w:rPr>
  </w:style>
  <w:style w:type="character" w:customStyle="1" w:styleId="257">
    <w:name w:val="Table Text Char Char Char Char"/>
    <w:link w:val="72"/>
    <w:qFormat/>
    <w:uiPriority w:val="0"/>
    <w:rPr>
      <w:rFonts w:ascii="Arial Narrow" w:hAnsi="Arial Narrow"/>
      <w:kern w:val="2"/>
      <w:sz w:val="18"/>
      <w:lang w:val="en-US" w:eastAsia="zh-CN" w:bidi="ar-SA"/>
    </w:rPr>
  </w:style>
  <w:style w:type="character" w:customStyle="1" w:styleId="258">
    <w:name w:val="Char Char7"/>
    <w:qFormat/>
    <w:uiPriority w:val="0"/>
    <w:rPr>
      <w:rFonts w:ascii="文鼎粗黑" w:hAnsi="文鼎粗黑" w:eastAsia="文鼎粗黑"/>
      <w:kern w:val="2"/>
      <w:sz w:val="28"/>
    </w:rPr>
  </w:style>
  <w:style w:type="character" w:customStyle="1" w:styleId="259">
    <w:name w:val="font21"/>
    <w:basedOn w:val="61"/>
    <w:qFormat/>
    <w:uiPriority w:val="0"/>
    <w:rPr>
      <w:rFonts w:hint="eastAsia" w:ascii="宋体" w:hAnsi="宋体" w:eastAsia="宋体" w:cs="宋体"/>
      <w:color w:val="000000"/>
      <w:sz w:val="22"/>
      <w:szCs w:val="22"/>
      <w:u w:val="none"/>
    </w:rPr>
  </w:style>
  <w:style w:type="paragraph" w:customStyle="1" w:styleId="260">
    <w:name w:val="四级条标题"/>
    <w:basedOn w:val="261"/>
    <w:next w:val="93"/>
    <w:qFormat/>
    <w:uiPriority w:val="0"/>
    <w:pPr>
      <w:numPr>
        <w:ilvl w:val="4"/>
      </w:numPr>
      <w:outlineLvl w:val="5"/>
    </w:pPr>
  </w:style>
  <w:style w:type="paragraph" w:customStyle="1" w:styleId="261">
    <w:name w:val="三级条标题"/>
    <w:basedOn w:val="90"/>
    <w:next w:val="93"/>
    <w:qFormat/>
    <w:uiPriority w:val="0"/>
    <w:pPr>
      <w:numPr>
        <w:ilvl w:val="3"/>
        <w:numId w:val="12"/>
      </w:numPr>
      <w:outlineLvl w:val="4"/>
    </w:pPr>
  </w:style>
  <w:style w:type="character" w:customStyle="1" w:styleId="262">
    <w:name w:val="trnone1"/>
    <w:basedOn w:val="61"/>
    <w:qFormat/>
    <w:uiPriority w:val="0"/>
  </w:style>
  <w:style w:type="paragraph" w:customStyle="1" w:styleId="263">
    <w:name w:val="列出段落11"/>
    <w:basedOn w:val="1"/>
    <w:qFormat/>
    <w:uiPriority w:val="99"/>
    <w:pPr>
      <w:ind w:firstLine="420" w:firstLineChars="200"/>
    </w:pPr>
    <w:rPr>
      <w:rFonts w:ascii="Calibri" w:hAnsi="Calibri"/>
    </w:rPr>
  </w:style>
  <w:style w:type="paragraph" w:customStyle="1" w:styleId="264">
    <w:name w:val="标题（1） （2）"/>
    <w:semiHidden/>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table" w:customStyle="1" w:styleId="265">
    <w:name w:val="Table Normal"/>
    <w:autoRedefine/>
    <w:unhideWhenUsed/>
    <w:qFormat/>
    <w:uiPriority w:val="0"/>
    <w:tblPr>
      <w:tblCellMar>
        <w:top w:w="0" w:type="dxa"/>
        <w:left w:w="0" w:type="dxa"/>
        <w:bottom w:w="0" w:type="dxa"/>
        <w:right w:w="0" w:type="dxa"/>
      </w:tblCellMar>
    </w:tblPr>
  </w:style>
  <w:style w:type="character" w:customStyle="1" w:styleId="266">
    <w:name w:val="NormalCharacter"/>
    <w:semiHidden/>
    <w:qFormat/>
    <w:uiPriority w:val="0"/>
    <w:rPr>
      <w:rFonts w:ascii="Verdana" w:hAnsi="Verdana" w:eastAsia="仿宋_GB2312"/>
      <w:sz w:val="24"/>
      <w:lang w:val="en-US" w:eastAsia="en-US" w:bidi="ar-SA"/>
    </w:rPr>
  </w:style>
  <w:style w:type="paragraph" w:customStyle="1" w:styleId="267">
    <w:name w:val="电建正文"/>
    <w:basedOn w:val="268"/>
    <w:qFormat/>
    <w:uiPriority w:val="0"/>
    <w:pPr>
      <w:tabs>
        <w:tab w:val="left" w:pos="720"/>
      </w:tabs>
      <w:spacing w:line="360" w:lineRule="auto"/>
      <w:ind w:firstLine="200" w:firstLineChars="200"/>
    </w:pPr>
    <w:rPr>
      <w:rFonts w:ascii="Tahoma" w:hAnsi="Tahoma"/>
      <w:sz w:val="24"/>
    </w:rPr>
  </w:style>
  <w:style w:type="paragraph" w:customStyle="1" w:styleId="268">
    <w:name w:val="List First"/>
    <w:basedOn w:val="41"/>
    <w:next w:val="41"/>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30</Pages>
  <Words>16666</Words>
  <Characters>17662</Characters>
  <Lines>206</Lines>
  <Paragraphs>58</Paragraphs>
  <TotalTime>28</TotalTime>
  <ScaleCrop>false</ScaleCrop>
  <LinksUpToDate>false</LinksUpToDate>
  <CharactersWithSpaces>19081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2021-07-01T11:17:00Z</dcterms:created>
  <dc:creator>Administrator</dc:creator>
  <cp:lastModifiedBy>费月敏</cp:lastModifiedBy>
  <cp:lastPrinted>2023-12-01T10:39:00Z</cp:lastPrinted>
  <dcterms:modified xsi:type="dcterms:W3CDTF">2026-05-06T08:38:15Z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GSEDS_HWMT_d46a6755">
    <vt:lpwstr>f245dffd_mFV3wj84JCk3NspOl3v9rmC3Imc=_8QYrr0VhfDU+O9JKk3H9q/cP2teVINs88a3VV7FVYaajNXcxFIHUL2G9JEnbXq8lOtkjtlsOkGReUk8H73HbM8XZSLUy_eeef3cba</vt:lpwstr>
  </property>
  <property fmtid="{D5CDD505-2E9C-101B-9397-08002B2CF9AE}" pid="4" name="KSOSaveFontToCloudKey">
    <vt:lpwstr>837923744_btnclosed</vt:lpwstr>
  </property>
  <property fmtid="{D5CDD505-2E9C-101B-9397-08002B2CF9AE}" pid="5" name="ICV">
    <vt:lpwstr>FBA7E8DC817642968B57320962A684F9_13</vt:lpwstr>
  </property>
  <property fmtid="{D5CDD505-2E9C-101B-9397-08002B2CF9AE}" pid="6" name="KSOTemplateDocerSaveRecord">
    <vt:lpwstr>eyJoZGlkIjoiNWEwYmI1YWQyOWE2N2M4MmVjNmI2ZTM1ZDYyY2NlZTAiLCJ1c2VySWQiOiIxNzY1Nzg5MDkwIn0=</vt:lpwstr>
  </property>
</Properties>
</file>